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ascii="仿宋" w:hAnsi="仿宋" w:eastAsia="仿宋" w:cs="仿宋"/>
          <w:b/>
          <w:bCs/>
          <w:sz w:val="32"/>
          <w:szCs w:val="32"/>
        </w:rPr>
        <w:t>GT09-G01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G</w:t>
      </w:r>
      <w:r>
        <w:rPr>
          <w:rFonts w:ascii="仿宋" w:hAnsi="仿宋" w:eastAsia="仿宋" w:cs="仿宋"/>
          <w:b/>
          <w:bCs/>
          <w:sz w:val="32"/>
          <w:szCs w:val="32"/>
        </w:rPr>
        <w:t>T09-G04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ascii="仿宋" w:hAnsi="仿宋" w:eastAsia="仿宋" w:cs="仿宋"/>
          <w:b/>
          <w:bCs/>
          <w:sz w:val="32"/>
          <w:szCs w:val="32"/>
        </w:rPr>
        <w:t>GT09-F01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等地块调整内容</w:t>
      </w:r>
    </w:p>
    <w:bookmarkEnd w:id="0"/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具体调整内容：</w:t>
      </w:r>
      <w:r>
        <w:rPr>
          <w:rFonts w:ascii="仿宋" w:hAnsi="仿宋" w:eastAsia="仿宋" w:cs="仿宋"/>
          <w:sz w:val="32"/>
          <w:szCs w:val="32"/>
        </w:rPr>
        <w:t>GT09-G01地块</w:t>
      </w:r>
      <w:r>
        <w:rPr>
          <w:rFonts w:hint="eastAsia" w:ascii="仿宋" w:hAnsi="仿宋" w:eastAsia="仿宋" w:cs="仿宋"/>
          <w:sz w:val="32"/>
          <w:szCs w:val="32"/>
        </w:rPr>
        <w:t>原</w:t>
      </w:r>
      <w:r>
        <w:rPr>
          <w:rFonts w:ascii="仿宋" w:hAnsi="仿宋" w:eastAsia="仿宋" w:cs="仿宋"/>
          <w:sz w:val="32"/>
          <w:szCs w:val="32"/>
        </w:rPr>
        <w:t>规划为公园绿地，</w:t>
      </w:r>
      <w:r>
        <w:rPr>
          <w:rFonts w:hint="eastAsia" w:ascii="仿宋" w:hAnsi="仿宋" w:eastAsia="仿宋" w:cs="仿宋"/>
          <w:sz w:val="32"/>
          <w:szCs w:val="32"/>
        </w:rPr>
        <w:t>面积为</w:t>
      </w:r>
      <w:r>
        <w:rPr>
          <w:rFonts w:ascii="仿宋" w:hAnsi="仿宋" w:eastAsia="仿宋" w:cs="仿宋"/>
          <w:sz w:val="32"/>
          <w:szCs w:val="32"/>
        </w:rPr>
        <w:t>0.43</w:t>
      </w:r>
      <w:r>
        <w:rPr>
          <w:rFonts w:hint="eastAsia" w:ascii="仿宋" w:hAnsi="仿宋" w:eastAsia="仿宋" w:cs="仿宋"/>
          <w:sz w:val="32"/>
          <w:szCs w:val="32"/>
        </w:rPr>
        <w:t>公顷，</w:t>
      </w:r>
      <w:r>
        <w:rPr>
          <w:rFonts w:ascii="仿宋" w:hAnsi="仿宋" w:eastAsia="仿宋" w:cs="仿宋"/>
          <w:sz w:val="32"/>
          <w:szCs w:val="32"/>
        </w:rPr>
        <w:t>本次调整保持不变，规划仍为公园绿地。</w:t>
      </w:r>
      <w:r>
        <w:rPr>
          <w:rFonts w:hint="eastAsia" w:ascii="仿宋" w:hAnsi="仿宋" w:eastAsia="仿宋" w:cs="仿宋"/>
          <w:sz w:val="32"/>
          <w:szCs w:val="32"/>
        </w:rPr>
        <w:t>GT09-G04地块原规划为商住用地，调整范围用地总面积为4.25公顷，拟调整为商业用地。调整后用地面积4.25公顷，容积率1.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，建筑密度45%，建筑限高60米，绿地率20%。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GT09-F01地块原规划为商住用地，调整范围用地总面积为5.46公顷，用地性质不调整，仍保留为商住用地。调整后用地面积5.46公顷，容积率2.0，建筑密度35%，建筑限高54米，绿地率30%。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图1调整前土地使用规划图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594350" cy="3494405"/>
            <wp:effectExtent l="0" t="0" r="6350" b="1079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 l="14258" r="19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90926"/>
    <w:rsid w:val="706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2024-04-11T01:42:00Z</dcterms:created>
  <dc:creator>咖啡</dc:creator>
  <cp:lastModifiedBy>咖啡</cp:lastModifiedBy>
  <dcterms:modified xsi:type="dcterms:W3CDTF">2024-04-11T01:57:47Z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