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firstLine="723" w:firstLineChars="200"/>
        <w:jc w:val="center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江西省瑞金市公证处202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年单位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预算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公开</w:t>
      </w:r>
    </w:p>
    <w:p>
      <w:pPr>
        <w:rPr>
          <w:rFonts w:hint="eastAsia" w:ascii="宋体" w:hAnsi="宋体" w:eastAsia="宋体" w:cs="宋体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目    录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 xml:space="preserve">第一部分  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江西省瑞金市公证处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一、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主要职责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   二、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单位机构设置、人员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情况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 xml:space="preserve">第二部分  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江西省瑞金市公证处202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年单位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预算情况说明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一、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年单位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   二、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“三公”经费预算情况说明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 xml:space="preserve">第三部分  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江西省瑞金市公证处202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年单位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预算表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一、《收支预算总表》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二、《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收入总表》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三、《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支出总表》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四、《财政拨款收支总表》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五、《一般公共预算支出表》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六、《一般公共预算基本支出表》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七、《一般公共预算“三公”经费支出表》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八、《政府性基金预算支出表》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九、《国有资本经营预算支出表》</w:t>
      </w:r>
      <w:r>
        <w:rPr>
          <w:rFonts w:hint="eastAsia" w:ascii="宋体" w:hAnsi="宋体" w:eastAsia="宋体" w:cs="宋体"/>
          <w:color w:val="auto"/>
          <w:sz w:val="32"/>
          <w:szCs w:val="32"/>
        </w:rPr>
        <w:tab/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十、</w:t>
      </w:r>
      <w:r>
        <w:rPr>
          <w:rFonts w:hint="default" w:ascii="宋体" w:hAnsi="宋体" w:eastAsia="宋体" w:cs="宋体"/>
          <w:color w:val="auto"/>
          <w:sz w:val="32"/>
          <w:szCs w:val="32"/>
        </w:rPr>
        <w:t>《项目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支出</w:t>
      </w:r>
      <w:r>
        <w:rPr>
          <w:rFonts w:hint="default" w:ascii="宋体" w:hAnsi="宋体" w:eastAsia="宋体" w:cs="宋体"/>
          <w:color w:val="auto"/>
          <w:sz w:val="32"/>
          <w:szCs w:val="32"/>
        </w:rPr>
        <w:t>绩效目标表》</w:t>
      </w:r>
    </w:p>
    <w:p>
      <w:pPr>
        <w:pStyle w:val="2"/>
        <w:rPr>
          <w:rFonts w:hint="eastAsia"/>
          <w:color w:val="auto"/>
        </w:rPr>
      </w:pP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第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部分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 xml:space="preserve"> 名词解释</w:t>
      </w: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 xml:space="preserve">第一部分  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江西省瑞金市公证处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概况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80" w:lineRule="exact"/>
        <w:ind w:left="-10" w:leftChars="0" w:firstLine="640" w:firstLineChars="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主要职责</w:t>
      </w:r>
    </w:p>
    <w:p>
      <w:pPr>
        <w:widowControl/>
        <w:numPr>
          <w:ilvl w:val="0"/>
          <w:numId w:val="0"/>
        </w:numPr>
        <w:spacing w:line="580" w:lineRule="exact"/>
        <w:ind w:firstLine="640" w:firstLineChars="200"/>
        <w:jc w:val="left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办理公证业务活动：证明合同、委托、遗嘱、继承、赠与、收养、亲属关系、身份、学历、出生、婚姻状况、生存、死亡、文件上的签名、印鉴属实、文本相符；赋予债权文书强制执行效力；保全证据及其它法律相关的公证事务。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</w:t>
      </w:r>
    </w:p>
    <w:p>
      <w:pPr>
        <w:widowControl/>
        <w:numPr>
          <w:ilvl w:val="0"/>
          <w:numId w:val="0"/>
        </w:numPr>
        <w:spacing w:line="580" w:lineRule="exact"/>
        <w:ind w:firstLine="643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单位机构设置、人员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情况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Adobe 仿宋 Std R" w:hAnsi="Adobe 仿宋 Std R" w:eastAsia="Adobe 仿宋 Std R"/>
          <w:color w:val="auto"/>
          <w:sz w:val="32"/>
          <w:szCs w:val="32"/>
        </w:rPr>
        <w:t>202</w:t>
      </w:r>
      <w:r>
        <w:rPr>
          <w:rFonts w:hint="eastAsia" w:ascii="Adobe 仿宋 Std R" w:hAnsi="Adobe 仿宋 Std R" w:eastAsia="Adobe 仿宋 Std R"/>
          <w:color w:val="auto"/>
          <w:sz w:val="32"/>
          <w:szCs w:val="32"/>
          <w:lang w:val="en-US" w:eastAsia="zh-CN"/>
        </w:rPr>
        <w:t>4</w:t>
      </w:r>
      <w:r>
        <w:rPr>
          <w:rFonts w:hint="eastAsia" w:ascii="Adobe 仿宋 Std R" w:hAnsi="Adobe 仿宋 Std R" w:eastAsia="Adobe 仿宋 Std R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江西省瑞金市公证处内设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0个股室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color w:val="auto"/>
        </w:rPr>
      </w:pPr>
      <w:r>
        <w:rPr>
          <w:rFonts w:ascii="仿宋" w:hAnsi="仿宋" w:eastAsia="仿宋"/>
          <w:color w:val="auto"/>
          <w:sz w:val="32"/>
          <w:szCs w:val="32"/>
        </w:rPr>
        <w:fldChar w:fldCharType="begin"/>
      </w:r>
      <w:r>
        <w:rPr>
          <w:rFonts w:ascii="仿宋" w:hAnsi="仿宋" w:eastAsia="仿宋"/>
          <w:color w:val="auto"/>
          <w:sz w:val="32"/>
          <w:szCs w:val="32"/>
        </w:rPr>
        <w:instrText xml:space="preserve">MERGEFIELD ${page400644146.ds532982397_REP_JX_BAS_AGENCY_INFO_ZYFRS_S_BZRSXJ}</w:instrText>
      </w:r>
      <w:r>
        <w:rPr>
          <w:rFonts w:ascii="仿宋" w:hAnsi="仿宋" w:eastAsia="仿宋"/>
          <w:color w:val="auto"/>
          <w:sz w:val="32"/>
          <w:szCs w:val="32"/>
        </w:rPr>
        <w:fldChar w:fldCharType="separate"/>
      </w:r>
      <w:r>
        <w:rPr>
          <w:rFonts w:ascii="仿宋" w:hAnsi="仿宋" w:eastAsia="仿宋"/>
          <w:color w:val="auto"/>
          <w:sz w:val="32"/>
          <w:szCs w:val="32"/>
        </w:rPr>
        <w:t>编制人数小计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auto"/>
          <w:sz w:val="32"/>
          <w:szCs w:val="32"/>
        </w:rPr>
        <w:t>人,</w:t>
      </w:r>
      <w:r>
        <w:rPr>
          <w:color w:val="auto"/>
        </w:rPr>
        <w:fldChar w:fldCharType="end"/>
      </w:r>
      <w:r>
        <w:rPr>
          <w:rFonts w:ascii="仿宋" w:hAnsi="仿宋" w:eastAsia="仿宋"/>
          <w:color w:val="auto"/>
          <w:sz w:val="32"/>
          <w:szCs w:val="32"/>
        </w:rPr>
        <w:t>其中：</w:t>
      </w:r>
      <w:r>
        <w:rPr>
          <w:rFonts w:ascii="仿宋" w:hAnsi="仿宋" w:eastAsia="仿宋"/>
          <w:color w:val="auto"/>
          <w:sz w:val="32"/>
          <w:szCs w:val="32"/>
        </w:rPr>
        <w:fldChar w:fldCharType="begin"/>
      </w:r>
      <w:r>
        <w:rPr>
          <w:rFonts w:ascii="仿宋" w:hAnsi="仿宋" w:eastAsia="仿宋"/>
          <w:color w:val="auto"/>
          <w:sz w:val="32"/>
          <w:szCs w:val="32"/>
        </w:rPr>
        <w:instrText xml:space="preserve">MERGEFIELD ${page400644146.ds532982397_REP_JX_BAS_AGENCY_INFO_ZYFRS_S_BZRSMX}</w:instrText>
      </w:r>
      <w:r>
        <w:rPr>
          <w:rFonts w:ascii="仿宋" w:hAnsi="仿宋" w:eastAsia="仿宋"/>
          <w:color w:val="auto"/>
          <w:sz w:val="32"/>
          <w:szCs w:val="32"/>
        </w:rPr>
        <w:fldChar w:fldCharType="separate"/>
      </w:r>
      <w:r>
        <w:rPr>
          <w:rFonts w:ascii="仿宋" w:hAnsi="仿宋" w:eastAsia="仿宋"/>
          <w:color w:val="auto"/>
          <w:sz w:val="32"/>
          <w:szCs w:val="32"/>
        </w:rPr>
        <w:t>行政编制人数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人,参照公务员管理的事业编制人数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额</w:t>
      </w:r>
      <w:r>
        <w:rPr>
          <w:rFonts w:ascii="仿宋" w:hAnsi="仿宋" w:eastAsia="仿宋"/>
          <w:color w:val="auto"/>
          <w:sz w:val="32"/>
          <w:szCs w:val="32"/>
        </w:rPr>
        <w:t>补助事业编制人数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auto"/>
          <w:sz w:val="32"/>
          <w:szCs w:val="32"/>
        </w:rPr>
        <w:t>人,自收自支编制人数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人。</w:t>
      </w:r>
      <w:r>
        <w:rPr>
          <w:color w:val="auto"/>
        </w:rPr>
        <w:fldChar w:fldCharType="end"/>
      </w:r>
      <w:r>
        <w:rPr>
          <w:rFonts w:ascii="仿宋" w:hAnsi="仿宋" w:eastAsia="仿宋"/>
          <w:color w:val="auto"/>
          <w:sz w:val="32"/>
          <w:szCs w:val="32"/>
        </w:rPr>
        <w:fldChar w:fldCharType="begin"/>
      </w:r>
      <w:r>
        <w:rPr>
          <w:rFonts w:ascii="仿宋" w:hAnsi="仿宋" w:eastAsia="仿宋"/>
          <w:color w:val="auto"/>
          <w:sz w:val="32"/>
          <w:szCs w:val="32"/>
        </w:rPr>
        <w:instrText xml:space="preserve">MERGEFIELD ${page400644146.ds532982397_REP_JX_BAS_AGENCY_INFO_ZYFRS_S_SYRSXJ}</w:instrText>
      </w:r>
      <w:r>
        <w:rPr>
          <w:rFonts w:ascii="仿宋" w:hAnsi="仿宋" w:eastAsia="仿宋"/>
          <w:color w:val="auto"/>
          <w:sz w:val="32"/>
          <w:szCs w:val="32"/>
        </w:rPr>
        <w:fldChar w:fldCharType="separate"/>
      </w:r>
      <w:r>
        <w:rPr>
          <w:rFonts w:ascii="仿宋" w:hAnsi="仿宋" w:eastAsia="仿宋"/>
          <w:color w:val="auto"/>
          <w:sz w:val="32"/>
          <w:szCs w:val="32"/>
        </w:rPr>
        <w:t>实有人数小计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auto"/>
          <w:sz w:val="32"/>
          <w:szCs w:val="32"/>
        </w:rPr>
        <w:t>人,</w:t>
      </w:r>
      <w:r>
        <w:rPr>
          <w:color w:val="auto"/>
        </w:rPr>
        <w:fldChar w:fldCharType="end"/>
      </w:r>
      <w:r>
        <w:rPr>
          <w:rFonts w:ascii="仿宋" w:hAnsi="仿宋" w:eastAsia="仿宋"/>
          <w:color w:val="auto"/>
          <w:sz w:val="32"/>
          <w:szCs w:val="32"/>
        </w:rPr>
        <w:t>其中：</w:t>
      </w:r>
      <w:r>
        <w:rPr>
          <w:rFonts w:ascii="仿宋" w:hAnsi="仿宋" w:eastAsia="仿宋"/>
          <w:color w:val="auto"/>
          <w:sz w:val="32"/>
          <w:szCs w:val="32"/>
        </w:rPr>
        <w:fldChar w:fldCharType="begin"/>
      </w:r>
      <w:r>
        <w:rPr>
          <w:rFonts w:ascii="仿宋" w:hAnsi="仿宋" w:eastAsia="仿宋"/>
          <w:color w:val="auto"/>
          <w:sz w:val="32"/>
          <w:szCs w:val="32"/>
        </w:rPr>
        <w:instrText xml:space="preserve">MERGEFIELD ${page400644146.ds532982397_REP_JX_BAS_AGENCY_INFO_ZYFRS_S_ZZRSXJ}</w:instrText>
      </w:r>
      <w:r>
        <w:rPr>
          <w:rFonts w:ascii="仿宋" w:hAnsi="仿宋" w:eastAsia="仿宋"/>
          <w:color w:val="auto"/>
          <w:sz w:val="32"/>
          <w:szCs w:val="32"/>
        </w:rPr>
        <w:fldChar w:fldCharType="separate"/>
      </w:r>
      <w:r>
        <w:rPr>
          <w:rFonts w:ascii="仿宋" w:hAnsi="仿宋" w:eastAsia="仿宋"/>
          <w:color w:val="auto"/>
          <w:sz w:val="32"/>
          <w:szCs w:val="32"/>
        </w:rPr>
        <w:t>在职人数小计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人,</w:t>
      </w:r>
      <w:r>
        <w:rPr>
          <w:color w:val="auto"/>
        </w:rPr>
        <w:fldChar w:fldCharType="end"/>
      </w:r>
      <w:r>
        <w:rPr>
          <w:rFonts w:ascii="仿宋" w:hAnsi="仿宋" w:eastAsia="仿宋"/>
          <w:color w:val="auto"/>
          <w:sz w:val="32"/>
          <w:szCs w:val="32"/>
        </w:rPr>
        <w:fldChar w:fldCharType="begin"/>
      </w:r>
      <w:r>
        <w:rPr>
          <w:rFonts w:ascii="仿宋" w:hAnsi="仿宋" w:eastAsia="仿宋"/>
          <w:color w:val="auto"/>
          <w:sz w:val="32"/>
          <w:szCs w:val="32"/>
        </w:rPr>
        <w:instrText xml:space="preserve">MERGEFIELD ${page400644146.ds532982397_REP_JX_BAS_AGENCY_INFO_ZYFRS_S_ZZRSMX}</w:instrText>
      </w:r>
      <w:r>
        <w:rPr>
          <w:rFonts w:ascii="仿宋" w:hAnsi="仿宋" w:eastAsia="仿宋"/>
          <w:color w:val="auto"/>
          <w:sz w:val="32"/>
          <w:szCs w:val="32"/>
        </w:rPr>
        <w:fldChar w:fldCharType="separate"/>
      </w:r>
      <w:r>
        <w:rPr>
          <w:rFonts w:ascii="仿宋" w:hAnsi="仿宋" w:eastAsia="仿宋"/>
          <w:color w:val="auto"/>
          <w:sz w:val="32"/>
          <w:szCs w:val="32"/>
        </w:rPr>
        <w:t>行政在职人数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人,参照公务员管理的事业单位在职人数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额</w:t>
      </w:r>
      <w:r>
        <w:rPr>
          <w:rFonts w:ascii="仿宋" w:hAnsi="仿宋" w:eastAsia="仿宋"/>
          <w:color w:val="auto"/>
          <w:sz w:val="32"/>
          <w:szCs w:val="32"/>
        </w:rPr>
        <w:t>补助事业在职人数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;</w:t>
      </w:r>
      <w:r>
        <w:rPr>
          <w:color w:val="auto"/>
        </w:rPr>
        <w:fldChar w:fldCharType="end"/>
      </w:r>
      <w:r>
        <w:rPr>
          <w:rFonts w:ascii="仿宋" w:hAnsi="仿宋" w:eastAsia="仿宋"/>
          <w:color w:val="auto"/>
          <w:sz w:val="32"/>
          <w:szCs w:val="32"/>
        </w:rPr>
        <w:fldChar w:fldCharType="begin"/>
      </w:r>
      <w:r>
        <w:rPr>
          <w:rFonts w:ascii="仿宋" w:hAnsi="仿宋" w:eastAsia="仿宋"/>
          <w:color w:val="auto"/>
          <w:sz w:val="32"/>
          <w:szCs w:val="32"/>
        </w:rPr>
        <w:instrText xml:space="preserve">MERGEFIELD ${page400644146.ds532982397_REP_JX_BAS_AGENCY_INFO_ZYFRS_S_QTRSMX}</w:instrText>
      </w:r>
      <w:r>
        <w:rPr>
          <w:rFonts w:ascii="仿宋" w:hAnsi="仿宋" w:eastAsia="仿宋"/>
          <w:color w:val="auto"/>
          <w:sz w:val="32"/>
          <w:szCs w:val="32"/>
        </w:rPr>
        <w:fldChar w:fldCharType="separate"/>
      </w:r>
      <w:r>
        <w:rPr>
          <w:rFonts w:ascii="仿宋" w:hAnsi="仿宋" w:eastAsia="仿宋"/>
          <w:color w:val="auto"/>
          <w:sz w:val="32"/>
          <w:szCs w:val="32"/>
        </w:rPr>
        <w:t>离休人数小计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人,退休人数小计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人,退职人员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人,遗属人数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，临聘人员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1人</w:t>
      </w:r>
      <w:r>
        <w:rPr>
          <w:rFonts w:ascii="仿宋" w:hAnsi="仿宋" w:eastAsia="仿宋"/>
          <w:color w:val="auto"/>
          <w:sz w:val="32"/>
          <w:szCs w:val="32"/>
        </w:rPr>
        <w:t>。</w:t>
      </w:r>
      <w:r>
        <w:rPr>
          <w:color w:val="auto"/>
        </w:rPr>
        <w:fldChar w:fldCharType="end"/>
      </w:r>
      <w:bookmarkStart w:id="0" w:name="_GoBack"/>
      <w:bookmarkEnd w:id="0"/>
    </w:p>
    <w:p>
      <w:pPr>
        <w:pStyle w:val="2"/>
        <w:rPr>
          <w:color w:val="auto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widowControl/>
        <w:tabs>
          <w:tab w:val="left" w:pos="2310"/>
        </w:tabs>
        <w:spacing w:line="58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 xml:space="preserve">第二部分  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江西省瑞金市公证处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(办)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年单位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预算情况说明</w:t>
      </w: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widowControl/>
        <w:spacing w:line="580" w:lineRule="exact"/>
        <w:ind w:firstLine="643" w:firstLineChars="20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一、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年单位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预算收支情况说明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江西省瑞金市公证处</w:t>
      </w:r>
      <w:r>
        <w:rPr>
          <w:rFonts w:hint="eastAsia" w:ascii="仿宋" w:hAnsi="仿宋" w:eastAsia="仿宋"/>
          <w:color w:val="auto"/>
          <w:sz w:val="32"/>
          <w:szCs w:val="32"/>
        </w:rPr>
        <w:t>收入预算总额为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110.41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较上年的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112.81万元，减少2.4万元，主要原因是人员变动。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其中：财政拨款收入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45.41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减少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0.32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教育收费资金收入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事业收入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事业单位经营收入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其他收入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国库集中支付网上结转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，较上年预算安排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减少2.08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（二）支出预算情况</w:t>
      </w:r>
    </w:p>
    <w:p>
      <w:pPr>
        <w:spacing w:line="600" w:lineRule="exact"/>
        <w:ind w:firstLine="628" w:firstLineChars="200"/>
        <w:rPr>
          <w:rFonts w:hint="eastAsia" w:ascii="仿宋" w:hAnsi="仿宋" w:eastAsia="仿宋"/>
          <w:color w:val="auto"/>
          <w:spacing w:val="-3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3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pacing w:val="-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pacing w:val="-3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pacing w:val="-3"/>
          <w:sz w:val="32"/>
          <w:szCs w:val="32"/>
          <w:lang w:eastAsia="zh-CN"/>
        </w:rPr>
        <w:t>江西省瑞金市公证处</w:t>
      </w:r>
      <w:r>
        <w:rPr>
          <w:rFonts w:hint="eastAsia" w:ascii="仿宋" w:hAnsi="仿宋" w:eastAsia="仿宋"/>
          <w:color w:val="auto"/>
          <w:spacing w:val="-3"/>
          <w:sz w:val="32"/>
          <w:szCs w:val="32"/>
        </w:rPr>
        <w:t>支出预算总额为</w:t>
      </w:r>
      <w:r>
        <w:rPr>
          <w:rFonts w:hint="eastAsia" w:ascii="仿宋" w:hAnsi="仿宋" w:eastAsia="仿宋"/>
          <w:color w:val="auto"/>
          <w:spacing w:val="-3"/>
          <w:sz w:val="32"/>
          <w:szCs w:val="32"/>
          <w:lang w:val="en-US" w:eastAsia="zh-CN"/>
        </w:rPr>
        <w:t>110.41</w:t>
      </w:r>
      <w:r>
        <w:rPr>
          <w:rFonts w:hint="eastAsia" w:ascii="仿宋" w:hAnsi="仿宋" w:eastAsia="仿宋"/>
          <w:color w:val="auto"/>
          <w:spacing w:val="-3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较上年的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112.81万元，减少2.4万元，降低2.13%，主要原因是人员变动。</w:t>
      </w:r>
      <w:r>
        <w:rPr>
          <w:rFonts w:hint="eastAsia" w:ascii="仿宋" w:hAnsi="仿宋" w:eastAsia="仿宋"/>
          <w:color w:val="auto"/>
          <w:spacing w:val="-3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pacing w:val="-3"/>
          <w:sz w:val="32"/>
          <w:szCs w:val="32"/>
        </w:rPr>
        <w:t>按</w:t>
      </w:r>
      <w:r>
        <w:rPr>
          <w:rFonts w:hint="eastAsia" w:ascii="仿宋" w:hAnsi="仿宋" w:eastAsia="仿宋"/>
          <w:color w:val="auto"/>
          <w:sz w:val="32"/>
          <w:szCs w:val="32"/>
        </w:rPr>
        <w:t>支出项目类别划分：基本支出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45.41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减少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0.32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</w:rPr>
        <w:t>，包括工资福利支出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38.59</w:t>
      </w:r>
      <w:r>
        <w:rPr>
          <w:rFonts w:hint="eastAsia" w:ascii="仿宋" w:hAnsi="仿宋" w:eastAsia="仿宋"/>
          <w:color w:val="auto"/>
          <w:sz w:val="32"/>
          <w:szCs w:val="32"/>
        </w:rPr>
        <w:t>万元、商品和服务支出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6.82</w:t>
      </w:r>
      <w:r>
        <w:rPr>
          <w:rFonts w:hint="eastAsia" w:ascii="仿宋" w:hAnsi="仿宋" w:eastAsia="仿宋"/>
          <w:color w:val="auto"/>
          <w:sz w:val="32"/>
          <w:szCs w:val="32"/>
        </w:rPr>
        <w:t>万元、对个人和家庭的补助支出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万元；项目支出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（包括其他资金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65万元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其中：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商品和服务支出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万元、资本性支出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按支出功能科目划分：公共安全支出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35.75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万元，较上年预算安排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减少0.24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万元；社会保障和就业支出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4.75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万元，较上年预算安排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减少0.05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万元；卫生健康支出1.45万元，较上年预算安排增加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万元；住房保障支出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3.46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万元，较上年预算安排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减少0.03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万元；其他支出65万元，较上年预算安排增加0万元。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按支出经济分类划分：工资福利支出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38.59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万元，较上年预算安排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减少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0.32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；商品和服务支出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6.82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万元，较上年预算安排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；对个人和家庭的补助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万元，较上年预算安排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；资本性支出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万元，较上年预算安排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（三）财政拨款支出情况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江西省瑞金市公证处</w:t>
      </w:r>
      <w:r>
        <w:rPr>
          <w:rFonts w:hint="eastAsia" w:ascii="仿宋" w:hAnsi="仿宋" w:eastAsia="仿宋"/>
          <w:color w:val="auto"/>
          <w:sz w:val="32"/>
          <w:szCs w:val="32"/>
        </w:rPr>
        <w:t>财政补助支出预算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45.41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较上年预算减少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0.32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万元,主要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原因为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人员变动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按支出功能科目划分：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公共安全支出35.75万元，较上年预算安排减少0.24万元；社会保障和就业支出4.75万元，较上年预算安排减少0.05万元；卫生健康支出1.45万元，较上年预算安排增加0万元；住房保障支出3.46万元，较上年预算安排减少0.03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按支出项目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类别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划分：基本支出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45.41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减少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0.32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，其中：工资福利支出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38.59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万元，商品和服务支出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6.82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万元，对个人和家庭的补助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项目支出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，较上年预算安排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，其中：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商品和服务支出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万元，资本性支出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（四）政府性基金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支出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情况</w:t>
      </w:r>
    </w:p>
    <w:p>
      <w:pPr>
        <w:pStyle w:val="2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本单位没有使用政府性基金预算拨款安排的支出。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（五）机关运行经费等重要事项的说明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本单位为事业单位，</w:t>
      </w:r>
      <w:r>
        <w:rPr>
          <w:rFonts w:hint="default" w:eastAsia="仿宋_GB2312" w:cs="Times New Roman"/>
          <w:bCs/>
          <w:color w:val="auto"/>
          <w:sz w:val="32"/>
          <w:szCs w:val="32"/>
          <w:lang w:eastAsia="zh-CN"/>
        </w:rPr>
        <w:t>202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eastAsia="仿宋_GB2312" w:cs="Times New Roman"/>
          <w:bCs/>
          <w:color w:val="auto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公用经费预算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6.82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万元，比20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年预算增加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万元，增长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%，主要原因为：与上年安排保持一致</w:t>
      </w:r>
      <w:r>
        <w:rPr>
          <w:rFonts w:hint="default" w:eastAsia="仿宋_GB2312" w:cs="Times New Roman"/>
          <w:bCs/>
          <w:color w:val="auto"/>
          <w:sz w:val="32"/>
          <w:szCs w:val="32"/>
          <w:lang w:eastAsia="zh-CN"/>
        </w:rPr>
        <w:t>。</w:t>
      </w:r>
    </w:p>
    <w:p>
      <w:pPr>
        <w:widowControl/>
        <w:spacing w:line="580" w:lineRule="exact"/>
        <w:ind w:firstLine="636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按照财政部《地方预决算公开操作规程》明确的口径，机关运行费指各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的公用经费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(基本支出中商品和服务支出中各明细经济科目)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，包括办公及印刷费、邮电费、差旅费、会议费、福利费、日常维修费、专用材料及一般设备购置费、办公用房水电费、办公用房取暖费、办公用房物业管理费、公务用车运行维护费以及其他费用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国有资本经营情况</w:t>
      </w: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本单位没有使用国有资本经营预算拨款安排的支出。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）政府采购情况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单位政府采购总额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万元，其中：政府采购货物预算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万元、政府采购工程预算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万元、政府采购服务预算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万元。</w:t>
      </w:r>
    </w:p>
    <w:p>
      <w:pPr>
        <w:widowControl/>
        <w:spacing w:line="580" w:lineRule="exact"/>
        <w:ind w:firstLine="803" w:firstLineChars="25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截至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月31日，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共有车辆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辆，其中，一般公务用车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辆，执法执勤用车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辆。</w:t>
      </w:r>
    </w:p>
    <w:p>
      <w:pPr>
        <w:spacing w:line="560" w:lineRule="exact"/>
        <w:ind w:firstLine="640" w:firstLineChars="200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预算安排购置车辆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辆，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未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安排购置单位价值200万元以上大型设备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预算绩效管理情况说明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江西省瑞金市公证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对项目支出全面实施绩效目标管理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根据以前年度绩效评价结果，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</w:rPr>
        <w:t>优化202</w:t>
      </w:r>
      <w:r>
        <w:rPr>
          <w:rFonts w:hint="eastAsia" w:eastAsia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</w:rPr>
        <w:t>年预算安排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并进一步改进管理、完善政策。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江西省瑞金市公证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预算安排项目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个，项目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金额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合计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万元，其中：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其他资金项目预算安排65万元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单位所有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支出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绩效目标表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详见附表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（十）</w:t>
      </w:r>
      <w:r>
        <w:rPr>
          <w:rFonts w:hint="default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重点项目：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本单位本年度未安排重点项目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二、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“三公”经费预算情况说明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江西省瑞金市公证处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“三公”经费一般公共预算安排安排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1.52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万元。其中：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因公出国（境）费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万元，比上年增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加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万元，主要原因是：与上年安排保持一致。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公务接待费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1.52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万元，比上年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0.09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万元，主要原因是：严格执行中央八项规定精神和厉行节约的相关规定。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公务用车运行维护费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万元，比上年增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加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万元，主要原因是：与上年安排保持一致。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公务用车购置费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万元，比上年增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加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万元，主要原因是：与上年安排保持一致。</w:t>
      </w:r>
    </w:p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/>
          <w:color w:val="auto"/>
        </w:rPr>
      </w:pP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 xml:space="preserve">第三部分  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江西省瑞金市公证处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(办)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年单位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预算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表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详见附表</w:t>
      </w:r>
    </w:p>
    <w:p>
      <w:pPr>
        <w:pStyle w:val="2"/>
        <w:rPr>
          <w:rFonts w:hint="eastAsia" w:ascii="宋体" w:hAnsi="宋体" w:cs="宋体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widowControl/>
        <w:numPr>
          <w:ilvl w:val="0"/>
          <w:numId w:val="2"/>
        </w:numPr>
        <w:spacing w:line="600" w:lineRule="exact"/>
        <w:ind w:firstLine="640"/>
        <w:jc w:val="left"/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名词解释</w:t>
      </w:r>
    </w:p>
    <w:p>
      <w:pPr>
        <w:pStyle w:val="2"/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 </w:t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收入科目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（一）财政拨款：指财政当年拨付的资金。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）其他收入：指除财政拨款、事业收入、事业单位经营收入等以外的各项收入。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）上年结转和结余：填列全部结转和结余的资金数，包括当年结转结余资金和历年滚存结转结余资金。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二、支出科目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Style w:val="6"/>
          <w:rFonts w:hint="eastAsia" w:ascii="宋体" w:hAnsi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一</w:t>
      </w:r>
      <w:r>
        <w:rPr>
          <w:rStyle w:val="6"/>
          <w:rFonts w:hint="eastAsia" w:ascii="宋体" w:hAnsi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一般公共服务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支出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反映政府提供一般公共服务的支出。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（二）社会保障和就业支出；反映政府在社会保障与就业方面的支出。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（三）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卫生健康支出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：反映政府卫生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健康方面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（四）住房保障支出：反映政府用于住房方面的支出。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三、单位涉及的专业名词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“三公”经费：纳入预算管理的“三公”经费，是指用财政拨款安排的因公出国（境）费、公务用车购置及运行费和公务接待费。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E3C99"/>
    <w:multiLevelType w:val="singleLevel"/>
    <w:tmpl w:val="9FCE3C99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ED46250"/>
    <w:multiLevelType w:val="singleLevel"/>
    <w:tmpl w:val="5ED46250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DYwOWRmN2IxNzIzNjI2MzhjZThjNWJkYTU1M2YifQ=="/>
  </w:docVars>
  <w:rsids>
    <w:rsidRoot w:val="001309D3"/>
    <w:rsid w:val="001309D3"/>
    <w:rsid w:val="00287B4F"/>
    <w:rsid w:val="003626E6"/>
    <w:rsid w:val="004149A8"/>
    <w:rsid w:val="004B6589"/>
    <w:rsid w:val="005A683A"/>
    <w:rsid w:val="007C71C1"/>
    <w:rsid w:val="008E54DE"/>
    <w:rsid w:val="00906F95"/>
    <w:rsid w:val="00A12B8F"/>
    <w:rsid w:val="00C35E73"/>
    <w:rsid w:val="00D86152"/>
    <w:rsid w:val="00DB6A06"/>
    <w:rsid w:val="00F02D83"/>
    <w:rsid w:val="00F46746"/>
    <w:rsid w:val="012D1B3C"/>
    <w:rsid w:val="01C27A9E"/>
    <w:rsid w:val="022E44A8"/>
    <w:rsid w:val="02FC620E"/>
    <w:rsid w:val="03AA585E"/>
    <w:rsid w:val="03BD4BD4"/>
    <w:rsid w:val="03C67BF4"/>
    <w:rsid w:val="046B77A1"/>
    <w:rsid w:val="04A253BD"/>
    <w:rsid w:val="04AD751E"/>
    <w:rsid w:val="05987655"/>
    <w:rsid w:val="06275131"/>
    <w:rsid w:val="062F07EF"/>
    <w:rsid w:val="06A020A3"/>
    <w:rsid w:val="07066BED"/>
    <w:rsid w:val="07C64996"/>
    <w:rsid w:val="07F81328"/>
    <w:rsid w:val="08B13234"/>
    <w:rsid w:val="08FD0700"/>
    <w:rsid w:val="095F6949"/>
    <w:rsid w:val="09E518F1"/>
    <w:rsid w:val="09E76698"/>
    <w:rsid w:val="0A1E2E56"/>
    <w:rsid w:val="0A8E7F55"/>
    <w:rsid w:val="0B885D88"/>
    <w:rsid w:val="0BB963A0"/>
    <w:rsid w:val="0CA84E57"/>
    <w:rsid w:val="0CAA1B05"/>
    <w:rsid w:val="0CF750C9"/>
    <w:rsid w:val="0D2210AE"/>
    <w:rsid w:val="0D5E339D"/>
    <w:rsid w:val="0EED500D"/>
    <w:rsid w:val="0F11257B"/>
    <w:rsid w:val="0F790541"/>
    <w:rsid w:val="103E1D5B"/>
    <w:rsid w:val="10A1351E"/>
    <w:rsid w:val="11FA43A7"/>
    <w:rsid w:val="12301DA5"/>
    <w:rsid w:val="127C4719"/>
    <w:rsid w:val="12B510F0"/>
    <w:rsid w:val="12C82948"/>
    <w:rsid w:val="138353C1"/>
    <w:rsid w:val="13884C75"/>
    <w:rsid w:val="13E9022F"/>
    <w:rsid w:val="14493357"/>
    <w:rsid w:val="151219A7"/>
    <w:rsid w:val="1562473D"/>
    <w:rsid w:val="15783F61"/>
    <w:rsid w:val="162C3B86"/>
    <w:rsid w:val="164A6625"/>
    <w:rsid w:val="164E283F"/>
    <w:rsid w:val="170D06D9"/>
    <w:rsid w:val="17AA3510"/>
    <w:rsid w:val="19265A82"/>
    <w:rsid w:val="195B797C"/>
    <w:rsid w:val="1AF06347"/>
    <w:rsid w:val="1B1603D4"/>
    <w:rsid w:val="1BA40140"/>
    <w:rsid w:val="1C8F5AA4"/>
    <w:rsid w:val="1C901B5C"/>
    <w:rsid w:val="1C9F3F97"/>
    <w:rsid w:val="1D1533B2"/>
    <w:rsid w:val="1D19306A"/>
    <w:rsid w:val="1E5B61CE"/>
    <w:rsid w:val="1E716C8A"/>
    <w:rsid w:val="1FF54411"/>
    <w:rsid w:val="20DC0DBF"/>
    <w:rsid w:val="20EE50D7"/>
    <w:rsid w:val="211E078D"/>
    <w:rsid w:val="21805609"/>
    <w:rsid w:val="22B92AFA"/>
    <w:rsid w:val="234E6E48"/>
    <w:rsid w:val="238166D6"/>
    <w:rsid w:val="23D4005C"/>
    <w:rsid w:val="24743B45"/>
    <w:rsid w:val="255D658D"/>
    <w:rsid w:val="257E0AC2"/>
    <w:rsid w:val="25930452"/>
    <w:rsid w:val="26CD230B"/>
    <w:rsid w:val="27D613F5"/>
    <w:rsid w:val="28DD7BE6"/>
    <w:rsid w:val="29485A5E"/>
    <w:rsid w:val="295A7042"/>
    <w:rsid w:val="29AA37FB"/>
    <w:rsid w:val="2A8D501A"/>
    <w:rsid w:val="2AC248CB"/>
    <w:rsid w:val="2B9E1D7C"/>
    <w:rsid w:val="2C462099"/>
    <w:rsid w:val="2C983467"/>
    <w:rsid w:val="2D300825"/>
    <w:rsid w:val="2EBA5074"/>
    <w:rsid w:val="2F332E37"/>
    <w:rsid w:val="2F672DEA"/>
    <w:rsid w:val="2FDC3C6A"/>
    <w:rsid w:val="2FDD6036"/>
    <w:rsid w:val="30172966"/>
    <w:rsid w:val="307C0BB2"/>
    <w:rsid w:val="30B175F3"/>
    <w:rsid w:val="30D151CB"/>
    <w:rsid w:val="3170342E"/>
    <w:rsid w:val="326445D4"/>
    <w:rsid w:val="32FF4F22"/>
    <w:rsid w:val="33C0453B"/>
    <w:rsid w:val="353978DB"/>
    <w:rsid w:val="3566572C"/>
    <w:rsid w:val="35D15ABF"/>
    <w:rsid w:val="35D6470F"/>
    <w:rsid w:val="35F70420"/>
    <w:rsid w:val="35FE3BB6"/>
    <w:rsid w:val="37796725"/>
    <w:rsid w:val="37C4173A"/>
    <w:rsid w:val="38303DCF"/>
    <w:rsid w:val="38922739"/>
    <w:rsid w:val="39D96793"/>
    <w:rsid w:val="3A496F92"/>
    <w:rsid w:val="3AAA1C17"/>
    <w:rsid w:val="3AF25027"/>
    <w:rsid w:val="3B581673"/>
    <w:rsid w:val="3BB501C0"/>
    <w:rsid w:val="3BF35CF4"/>
    <w:rsid w:val="3C184ED4"/>
    <w:rsid w:val="3C4A0E3B"/>
    <w:rsid w:val="3C6159E8"/>
    <w:rsid w:val="3D053A7C"/>
    <w:rsid w:val="3E295A9C"/>
    <w:rsid w:val="3E2A516B"/>
    <w:rsid w:val="3FB05BB2"/>
    <w:rsid w:val="3FE91433"/>
    <w:rsid w:val="40131C6D"/>
    <w:rsid w:val="408827DE"/>
    <w:rsid w:val="40923561"/>
    <w:rsid w:val="40A83E33"/>
    <w:rsid w:val="41DE7C14"/>
    <w:rsid w:val="42452EB5"/>
    <w:rsid w:val="433B1755"/>
    <w:rsid w:val="434A043B"/>
    <w:rsid w:val="438F22F2"/>
    <w:rsid w:val="445C1AD2"/>
    <w:rsid w:val="4527029E"/>
    <w:rsid w:val="45E22CFC"/>
    <w:rsid w:val="460B398A"/>
    <w:rsid w:val="46FD7572"/>
    <w:rsid w:val="47043634"/>
    <w:rsid w:val="47C00CCC"/>
    <w:rsid w:val="47F6649C"/>
    <w:rsid w:val="482125CD"/>
    <w:rsid w:val="48A07065"/>
    <w:rsid w:val="48EA5FF6"/>
    <w:rsid w:val="4A20088A"/>
    <w:rsid w:val="4B6776B0"/>
    <w:rsid w:val="4B9825BC"/>
    <w:rsid w:val="4C181A9D"/>
    <w:rsid w:val="4C8C7294"/>
    <w:rsid w:val="4C9D0549"/>
    <w:rsid w:val="4DDA49ED"/>
    <w:rsid w:val="4EB257AD"/>
    <w:rsid w:val="50027C2E"/>
    <w:rsid w:val="500C6457"/>
    <w:rsid w:val="50FC442C"/>
    <w:rsid w:val="51CC2E1B"/>
    <w:rsid w:val="51D578F1"/>
    <w:rsid w:val="521D6D1B"/>
    <w:rsid w:val="522D2867"/>
    <w:rsid w:val="538E4400"/>
    <w:rsid w:val="5486329D"/>
    <w:rsid w:val="55116550"/>
    <w:rsid w:val="556B16C1"/>
    <w:rsid w:val="56496E5F"/>
    <w:rsid w:val="56B12F57"/>
    <w:rsid w:val="579161E1"/>
    <w:rsid w:val="57DC747B"/>
    <w:rsid w:val="595E5520"/>
    <w:rsid w:val="59CC4786"/>
    <w:rsid w:val="5A750D95"/>
    <w:rsid w:val="5B8C5F46"/>
    <w:rsid w:val="5C6B051A"/>
    <w:rsid w:val="5DF809C2"/>
    <w:rsid w:val="5E7615F3"/>
    <w:rsid w:val="5EDD7F5D"/>
    <w:rsid w:val="5F061262"/>
    <w:rsid w:val="5F5F2E66"/>
    <w:rsid w:val="5FEC548B"/>
    <w:rsid w:val="60806E07"/>
    <w:rsid w:val="60956D42"/>
    <w:rsid w:val="631C300F"/>
    <w:rsid w:val="63B10DDE"/>
    <w:rsid w:val="649D3E7C"/>
    <w:rsid w:val="654C1999"/>
    <w:rsid w:val="65AC2438"/>
    <w:rsid w:val="65BA1EE9"/>
    <w:rsid w:val="65D320F4"/>
    <w:rsid w:val="67083227"/>
    <w:rsid w:val="68736174"/>
    <w:rsid w:val="6B686E01"/>
    <w:rsid w:val="6B8D23E5"/>
    <w:rsid w:val="6BB63302"/>
    <w:rsid w:val="6C5F0511"/>
    <w:rsid w:val="6CDF43B0"/>
    <w:rsid w:val="6CF7043C"/>
    <w:rsid w:val="6D2A6A64"/>
    <w:rsid w:val="6D553F0A"/>
    <w:rsid w:val="6D6261FE"/>
    <w:rsid w:val="6EE029C6"/>
    <w:rsid w:val="71687B48"/>
    <w:rsid w:val="716D6A1B"/>
    <w:rsid w:val="717A419A"/>
    <w:rsid w:val="732F4795"/>
    <w:rsid w:val="73BE02D8"/>
    <w:rsid w:val="741C69DA"/>
    <w:rsid w:val="747D56CB"/>
    <w:rsid w:val="74CB5A00"/>
    <w:rsid w:val="756B4D88"/>
    <w:rsid w:val="76A60F00"/>
    <w:rsid w:val="770D61B8"/>
    <w:rsid w:val="77CB2BF1"/>
    <w:rsid w:val="789C4861"/>
    <w:rsid w:val="78E57CE3"/>
    <w:rsid w:val="78FF6FF6"/>
    <w:rsid w:val="79A74F98"/>
    <w:rsid w:val="7A9E5575"/>
    <w:rsid w:val="7AE31AEE"/>
    <w:rsid w:val="7B0D02DA"/>
    <w:rsid w:val="7BF0611B"/>
    <w:rsid w:val="7C907F65"/>
    <w:rsid w:val="7D815F3A"/>
    <w:rsid w:val="7DE8004E"/>
    <w:rsid w:val="7DF30FF9"/>
    <w:rsid w:val="7FD82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autoRedefine/>
    <w:qFormat/>
    <w:uiPriority w:val="22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3801</Words>
  <Characters>4011</Characters>
  <Lines>3</Lines>
  <Paragraphs>1</Paragraphs>
  <TotalTime>0</TotalTime>
  <ScaleCrop>false</ScaleCrop>
  <LinksUpToDate>false</LinksUpToDate>
  <CharactersWithSpaces>4184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2016-04-08T04:49:00Z</dcterms:created>
  <dc:creator>Administrator</dc:creator>
  <cp:lastModifiedBy>Administrator</cp:lastModifiedBy>
  <cp:lastPrinted>2019-03-19T02:04:00Z</cp:lastPrinted>
  <dcterms:modified xsi:type="dcterms:W3CDTF">2024-01-28T11:24:33Z</dcterms:modified>
  <dc:title>2016年部门预算公开操作流程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304DC1B05ED6474BAC82B3E9BD6C786F</vt:lpwstr>
  </property>
</Properties>
</file>