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瑞金市公共资源交易中心整体支出绩效自评报告</w:t>
      </w:r>
    </w:p>
    <w:p>
      <w:pPr>
        <w:jc w:val="center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（2020年度）</w:t>
      </w:r>
    </w:p>
    <w:p>
      <w:pPr>
        <w:rPr>
          <w:rFonts w:hint="eastAsia"/>
        </w:rPr>
      </w:pPr>
    </w:p>
    <w:p>
      <w:pPr>
        <w:snapToGrid w:val="0"/>
        <w:spacing w:line="500" w:lineRule="exact"/>
        <w:ind w:firstLine="42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/>
          <w:lang w:val="en-US" w:eastAsia="zh-CN"/>
        </w:rPr>
        <w:t xml:space="preserve">   </w:t>
      </w:r>
      <w:bookmarkStart w:id="0" w:name="YS060101"/>
      <w:r>
        <w:rPr>
          <w:rFonts w:hint="eastAsia" w:ascii="仿宋" w:hAnsi="仿宋" w:eastAsia="仿宋"/>
          <w:sz w:val="32"/>
          <w:szCs w:val="32"/>
        </w:rPr>
        <w:t>一、单位</w:t>
      </w:r>
      <w:r>
        <w:rPr>
          <w:rFonts w:hint="eastAsia" w:ascii="仿宋" w:hAnsi="仿宋" w:eastAsia="仿宋"/>
          <w:sz w:val="32"/>
          <w:szCs w:val="32"/>
          <w:lang w:eastAsia="zh-CN"/>
        </w:rPr>
        <w:t>概</w:t>
      </w:r>
      <w:r>
        <w:rPr>
          <w:rFonts w:hint="eastAsia" w:ascii="仿宋" w:hAnsi="仿宋" w:eastAsia="仿宋"/>
          <w:sz w:val="32"/>
          <w:szCs w:val="32"/>
        </w:rPr>
        <w:t>况</w:t>
      </w:r>
    </w:p>
    <w:bookmarkEnd w:id="0"/>
    <w:p>
      <w:pPr>
        <w:snapToGrid w:val="0"/>
        <w:spacing w:line="5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/>
          <w:sz w:val="32"/>
          <w:szCs w:val="32"/>
        </w:rPr>
        <w:t>主要职能</w:t>
      </w:r>
      <w:r>
        <w:rPr>
          <w:rFonts w:hint="eastAsia" w:ascii="仿宋" w:hAnsi="仿宋" w:eastAsia="仿宋"/>
          <w:sz w:val="32"/>
          <w:szCs w:val="32"/>
          <w:lang w:eastAsia="zh-CN"/>
        </w:rPr>
        <w:t>、组织架构、人员及资产等基本情况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1、主要职能。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中心是具有独立法人资格的事业性服务机构，是集中进行各类招标投标交易活动的有形市场。中心的主要职能是承担工程建设项目招标投标交易机构职责，为工程建设项目招标投标交易提供场所、信息和服务等；承担政府集中采购机构职责，为政府采购发布信息、办理政府采购事宜等；承担产权交易机构职责，为产权交易发布信息、提供咨询、实施交易等；承担经营性国有土地使用权出让的土地交易机构的职责，为国有土地使用权招标拍卖挂牌出让交易发布信息、提供咨询、实施交易等；承担政府赋予的其他职能。</w:t>
      </w:r>
    </w:p>
    <w:p>
      <w:pPr>
        <w:snapToGrid w:val="0"/>
        <w:spacing w:line="5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eastAsia="zh-CN"/>
        </w:rPr>
        <w:t>、组织架构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内设综合科、工程建设科、政府采购科、产权交易科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numPr>
          <w:ilvl w:val="0"/>
          <w:numId w:val="1"/>
        </w:numPr>
        <w:snapToGrid w:val="0"/>
        <w:spacing w:line="5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人员情况。</w:t>
      </w:r>
    </w:p>
    <w:p>
      <w:pPr>
        <w:numPr>
          <w:ilvl w:val="0"/>
          <w:numId w:val="0"/>
        </w:numPr>
        <w:snapToGrid w:val="0"/>
        <w:spacing w:line="5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核定编制人数为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人，其中：事业编制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人。</w:t>
      </w:r>
      <w:r>
        <w:rPr>
          <w:rFonts w:hint="eastAsia" w:ascii="仿宋" w:hAnsi="仿宋" w:eastAsia="仿宋"/>
          <w:sz w:val="32"/>
          <w:szCs w:val="32"/>
        </w:rPr>
        <w:t>现有工作人员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/>
          <w:sz w:val="32"/>
          <w:szCs w:val="32"/>
        </w:rPr>
        <w:t>人（见习生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人、临时聘用人员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人）。</w:t>
      </w:r>
    </w:p>
    <w:p>
      <w:pPr>
        <w:numPr>
          <w:ilvl w:val="0"/>
          <w:numId w:val="0"/>
        </w:numPr>
        <w:snapToGrid w:val="0"/>
        <w:spacing w:line="500" w:lineRule="exact"/>
        <w:ind w:leftChars="200" w:firstLine="320" w:firstLineChars="100"/>
        <w:rPr>
          <w:sz w:val="24"/>
          <w:szCs w:val="24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4、资产情况。</w:t>
      </w:r>
    </w:p>
    <w:p>
      <w:pPr>
        <w:numPr>
          <w:ilvl w:val="0"/>
          <w:numId w:val="0"/>
        </w:numPr>
        <w:snapToGrid w:val="0"/>
        <w:spacing w:line="500" w:lineRule="exact"/>
        <w:ind w:left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年底资产共计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13.79</w:t>
      </w:r>
      <w:r>
        <w:rPr>
          <w:rFonts w:hint="eastAsia" w:ascii="仿宋" w:hAnsi="仿宋" w:eastAsia="仿宋" w:cs="仿宋"/>
          <w:sz w:val="32"/>
          <w:szCs w:val="32"/>
        </w:rPr>
        <w:t>万元，其中固定资产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11.32</w:t>
      </w:r>
    </w:p>
    <w:p>
      <w:pPr>
        <w:numPr>
          <w:ilvl w:val="0"/>
          <w:numId w:val="0"/>
        </w:numPr>
        <w:snapToGrid w:val="0"/>
        <w:spacing w:line="5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万元、流动资产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2.47</w:t>
      </w:r>
      <w:r>
        <w:rPr>
          <w:rFonts w:hint="eastAsia" w:ascii="仿宋" w:hAnsi="仿宋" w:eastAsia="仿宋" w:cs="仿宋"/>
          <w:sz w:val="32"/>
          <w:szCs w:val="32"/>
        </w:rPr>
        <w:t>万元。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（二）总体目标、工作任务。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奋发进取，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着力打造公平交易平台，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不断提升公共资源交易服务水平。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规范中介服务，建立网上中介服务超市，全面开放中介服务市场，营造公平开放、公正透明、执业规范、便企利民的中介服务市场环境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尽心尽责做好市重点工程项目招投标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  <w:lang w:bidi="ar"/>
        </w:rPr>
        <w:t>政府性投资非招标项目公开摇号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 w:bidi="ar"/>
        </w:rPr>
        <w:t>工作。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shd w:val="clear" w:color="auto" w:fill="FFFFFF"/>
        </w:rPr>
        <w:t>坚持以项目建设为中心，不断优化服务，扎实推进公共资源交易提速增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效。</w:t>
      </w:r>
    </w:p>
    <w:p>
      <w:pPr>
        <w:numPr>
          <w:ilvl w:val="0"/>
          <w:numId w:val="2"/>
        </w:numPr>
        <w:ind w:left="640" w:leftChars="0" w:firstLine="0" w:firstLineChars="0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绩效目标。</w:t>
      </w:r>
    </w:p>
    <w:p>
      <w:pPr>
        <w:numPr>
          <w:ilvl w:val="0"/>
          <w:numId w:val="0"/>
        </w:numPr>
        <w:ind w:left="640" w:left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坚持“公平，公开，公正”原则，以规范、高效和廉洁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为目标，锐意进取，大胆创</w:t>
      </w:r>
      <w:r>
        <w:rPr>
          <w:rFonts w:hint="eastAsia" w:ascii="仿宋" w:hAnsi="仿宋" w:eastAsia="仿宋"/>
          <w:sz w:val="32"/>
          <w:szCs w:val="32"/>
          <w:lang w:eastAsia="zh-CN"/>
        </w:rPr>
        <w:t>新，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取得较好的经济效益和社会效益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numPr>
          <w:ilvl w:val="0"/>
          <w:numId w:val="2"/>
        </w:numPr>
        <w:ind w:left="640" w:leftChars="0" w:firstLine="0" w:firstLineChars="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预算绩效管理开展情况。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组织保障得</w:t>
      </w:r>
      <w:r>
        <w:rPr>
          <w:rFonts w:hint="eastAsia" w:ascii="仿宋" w:hAnsi="仿宋" w:eastAsia="仿宋" w:cs="仿宋"/>
          <w:sz w:val="32"/>
          <w:szCs w:val="32"/>
        </w:rPr>
        <w:t>力，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制</w:t>
      </w:r>
      <w:r>
        <w:rPr>
          <w:rFonts w:hint="eastAsia" w:ascii="仿宋" w:hAnsi="仿宋" w:eastAsia="仿宋" w:cs="仿宋"/>
          <w:sz w:val="32"/>
          <w:szCs w:val="32"/>
        </w:rPr>
        <w:t>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</w:t>
      </w:r>
      <w:r>
        <w:rPr>
          <w:rFonts w:hint="eastAsia" w:ascii="仿宋" w:hAnsi="仿宋" w:eastAsia="仿宋" w:cs="仿宋"/>
          <w:sz w:val="32"/>
          <w:szCs w:val="32"/>
        </w:rPr>
        <w:t>作方案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中心领导</w:t>
      </w:r>
      <w:r>
        <w:rPr>
          <w:rFonts w:hint="eastAsia" w:ascii="仿宋" w:hAnsi="仿宋" w:eastAsia="仿宋" w:cs="仿宋"/>
          <w:sz w:val="32"/>
          <w:szCs w:val="32"/>
        </w:rPr>
        <w:t>高度重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视绩</w:t>
      </w:r>
      <w:r>
        <w:rPr>
          <w:rFonts w:hint="eastAsia" w:ascii="仿宋" w:hAnsi="仿宋" w:eastAsia="仿宋" w:cs="仿宋"/>
          <w:sz w:val="32"/>
          <w:szCs w:val="32"/>
        </w:rPr>
        <w:t>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自评</w:t>
      </w:r>
      <w:r>
        <w:rPr>
          <w:rFonts w:hint="eastAsia" w:ascii="仿宋" w:hAnsi="仿宋" w:eastAsia="仿宋" w:cs="仿宋"/>
          <w:sz w:val="32"/>
          <w:szCs w:val="32"/>
        </w:rPr>
        <w:t>工作，专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门</w:t>
      </w:r>
      <w:r>
        <w:rPr>
          <w:rFonts w:hint="eastAsia" w:ascii="仿宋" w:hAnsi="仿宋" w:eastAsia="仿宋" w:cs="仿宋"/>
          <w:sz w:val="32"/>
          <w:szCs w:val="32"/>
        </w:rPr>
        <w:t>成立了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绩效评价</w:t>
      </w:r>
      <w:r>
        <w:rPr>
          <w:rFonts w:hint="eastAsia" w:ascii="仿宋" w:hAnsi="仿宋" w:eastAsia="仿宋" w:cs="仿宋"/>
          <w:sz w:val="32"/>
          <w:szCs w:val="32"/>
        </w:rPr>
        <w:t>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领导</w:t>
      </w:r>
      <w:r>
        <w:rPr>
          <w:rFonts w:hint="eastAsia" w:ascii="仿宋" w:hAnsi="仿宋" w:eastAsia="仿宋" w:cs="仿宋"/>
          <w:sz w:val="32"/>
          <w:szCs w:val="32"/>
        </w:rPr>
        <w:t>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组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中心主任危春林同志</w:t>
      </w:r>
      <w:r>
        <w:rPr>
          <w:rFonts w:hint="eastAsia" w:ascii="仿宋" w:hAnsi="仿宋" w:eastAsia="仿宋" w:cs="仿宋"/>
          <w:sz w:val="32"/>
          <w:szCs w:val="32"/>
        </w:rPr>
        <w:t>亲自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担任组长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提</w:t>
      </w:r>
      <w:r>
        <w:rPr>
          <w:rFonts w:hint="eastAsia" w:ascii="仿宋" w:hAnsi="仿宋" w:eastAsia="仿宋" w:cs="仿宋"/>
          <w:sz w:val="32"/>
          <w:szCs w:val="32"/>
        </w:rPr>
        <w:t>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绩效自</w:t>
      </w:r>
      <w:r>
        <w:rPr>
          <w:rFonts w:hint="eastAsia" w:ascii="仿宋" w:hAnsi="仿宋" w:eastAsia="仿宋" w:cs="仿宋"/>
          <w:sz w:val="32"/>
          <w:szCs w:val="32"/>
        </w:rPr>
        <w:t>评工作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总</w:t>
      </w:r>
      <w:r>
        <w:rPr>
          <w:rFonts w:hint="eastAsia" w:ascii="仿宋" w:hAnsi="仿宋" w:eastAsia="仿宋" w:cs="仿宋"/>
          <w:sz w:val="32"/>
          <w:szCs w:val="32"/>
        </w:rPr>
        <w:t>体要求，对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评</w:t>
      </w:r>
      <w:r>
        <w:rPr>
          <w:rFonts w:hint="eastAsia" w:ascii="仿宋" w:hAnsi="仿宋" w:eastAsia="仿宋" w:cs="仿宋"/>
          <w:sz w:val="32"/>
          <w:szCs w:val="32"/>
        </w:rPr>
        <w:t>价依据，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评价目</w:t>
      </w:r>
      <w:r>
        <w:rPr>
          <w:rFonts w:hint="eastAsia" w:ascii="仿宋" w:hAnsi="仿宋" w:eastAsia="仿宋" w:cs="仿宋"/>
          <w:sz w:val="32"/>
          <w:szCs w:val="32"/>
        </w:rPr>
        <w:t>的，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评价</w:t>
      </w:r>
      <w:r>
        <w:rPr>
          <w:rFonts w:hint="eastAsia" w:ascii="仿宋" w:hAnsi="仿宋" w:eastAsia="仿宋" w:cs="仿宋"/>
          <w:sz w:val="32"/>
          <w:szCs w:val="32"/>
        </w:rPr>
        <w:t>对象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作出信具体规定</w:t>
      </w:r>
      <w:r>
        <w:rPr>
          <w:rFonts w:hint="eastAsia" w:ascii="仿宋" w:hAnsi="仿宋" w:eastAsia="仿宋" w:cs="仿宋"/>
          <w:sz w:val="32"/>
          <w:szCs w:val="32"/>
        </w:rPr>
        <w:t>，确保了自评工作织到位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加强业务指导，确保自评质量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中心</w:t>
      </w:r>
      <w:r>
        <w:rPr>
          <w:rFonts w:hint="eastAsia" w:ascii="仿宋" w:hAnsi="仿宋" w:eastAsia="仿宋" w:cs="仿宋"/>
          <w:sz w:val="32"/>
          <w:szCs w:val="32"/>
        </w:rPr>
        <w:t>上下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高度重视</w:t>
      </w:r>
      <w:r>
        <w:rPr>
          <w:rFonts w:hint="eastAsia" w:ascii="仿宋" w:hAnsi="仿宋" w:eastAsia="仿宋" w:cs="仿宋"/>
          <w:sz w:val="32"/>
          <w:szCs w:val="32"/>
        </w:rPr>
        <w:t>自评工作。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各科室按照自评</w:t>
      </w:r>
      <w:r>
        <w:rPr>
          <w:rFonts w:hint="eastAsia" w:ascii="仿宋" w:hAnsi="仿宋" w:eastAsia="仿宋" w:cs="仿宋"/>
          <w:sz w:val="32"/>
          <w:szCs w:val="32"/>
        </w:rPr>
        <w:t>工作方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案要求</w:t>
      </w:r>
      <w:r>
        <w:rPr>
          <w:rFonts w:hint="eastAsia" w:ascii="仿宋" w:hAnsi="仿宋" w:eastAsia="仿宋" w:cs="仿宋"/>
          <w:sz w:val="32"/>
          <w:szCs w:val="32"/>
        </w:rPr>
        <w:t>，及时收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集</w:t>
      </w:r>
      <w:r>
        <w:rPr>
          <w:rFonts w:hint="eastAsia" w:ascii="仿宋" w:hAnsi="仿宋" w:eastAsia="仿宋" w:cs="仿宋"/>
          <w:sz w:val="32"/>
          <w:szCs w:val="32"/>
        </w:rPr>
        <w:t>有关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资料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着重加强对</w:t>
      </w:r>
      <w:r>
        <w:rPr>
          <w:rFonts w:hint="eastAsia" w:ascii="仿宋" w:hAnsi="仿宋" w:eastAsia="仿宋" w:cs="仿宋"/>
          <w:sz w:val="32"/>
          <w:szCs w:val="32"/>
        </w:rPr>
        <w:t>项目二、三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级指</w:t>
      </w:r>
      <w:r>
        <w:rPr>
          <w:rFonts w:hint="eastAsia" w:ascii="仿宋" w:hAnsi="仿宋" w:eastAsia="仿宋" w:cs="仿宋"/>
          <w:sz w:val="32"/>
          <w:szCs w:val="32"/>
        </w:rPr>
        <w:t>标的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设置</w:t>
      </w:r>
      <w:r>
        <w:rPr>
          <w:rFonts w:hint="eastAsia" w:ascii="仿宋" w:hAnsi="仿宋" w:eastAsia="仿宋" w:cs="仿宋"/>
          <w:sz w:val="32"/>
          <w:szCs w:val="32"/>
        </w:rPr>
        <w:t>及评分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标准</w:t>
      </w:r>
      <w:r>
        <w:rPr>
          <w:rFonts w:hint="eastAsia" w:ascii="仿宋" w:hAnsi="仿宋" w:eastAsia="仿宋" w:cs="仿宋"/>
          <w:sz w:val="32"/>
          <w:szCs w:val="32"/>
        </w:rPr>
        <w:t>的业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务指</w:t>
      </w:r>
      <w:r>
        <w:rPr>
          <w:rFonts w:hint="eastAsia" w:ascii="仿宋" w:hAnsi="仿宋" w:eastAsia="仿宋" w:cs="仿宋"/>
          <w:sz w:val="32"/>
          <w:szCs w:val="32"/>
        </w:rPr>
        <w:t>导，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针</w:t>
      </w:r>
      <w:r>
        <w:rPr>
          <w:rFonts w:hint="eastAsia" w:ascii="仿宋" w:hAnsi="仿宋" w:eastAsia="仿宋" w:cs="仿宋"/>
          <w:sz w:val="32"/>
          <w:szCs w:val="32"/>
        </w:rPr>
        <w:t>对不同项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目</w:t>
      </w:r>
      <w:r>
        <w:rPr>
          <w:rFonts w:hint="eastAsia" w:ascii="仿宋" w:hAnsi="仿宋" w:eastAsia="仿宋" w:cs="仿宋"/>
          <w:sz w:val="32"/>
          <w:szCs w:val="32"/>
        </w:rPr>
        <w:t>的特点，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结</w:t>
      </w:r>
      <w:r>
        <w:rPr>
          <w:rFonts w:hint="eastAsia" w:ascii="仿宋" w:hAnsi="仿宋" w:eastAsia="仿宋" w:cs="仿宋"/>
          <w:sz w:val="32"/>
          <w:szCs w:val="32"/>
        </w:rPr>
        <w:t>合工作实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际</w:t>
      </w:r>
      <w:r>
        <w:rPr>
          <w:rFonts w:hint="eastAsia" w:ascii="仿宋" w:hAnsi="仿宋" w:eastAsia="仿宋" w:cs="仿宋"/>
          <w:sz w:val="32"/>
          <w:szCs w:val="32"/>
        </w:rPr>
        <w:t>，科学合理设定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指</w:t>
      </w:r>
      <w:r>
        <w:rPr>
          <w:rFonts w:hint="eastAsia" w:ascii="仿宋" w:hAnsi="仿宋" w:eastAsia="仿宋" w:cs="仿宋"/>
          <w:sz w:val="32"/>
          <w:szCs w:val="32"/>
        </w:rPr>
        <w:t>标及评分标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准</w:t>
      </w:r>
      <w:r>
        <w:rPr>
          <w:rFonts w:hint="eastAsia" w:ascii="仿宋" w:hAnsi="仿宋" w:eastAsia="仿宋" w:cs="仿宋"/>
          <w:sz w:val="32"/>
          <w:szCs w:val="32"/>
        </w:rPr>
        <w:t>，以便对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项目绩</w:t>
      </w:r>
      <w:r>
        <w:rPr>
          <w:rFonts w:hint="eastAsia" w:ascii="仿宋" w:hAnsi="仿宋" w:eastAsia="仿宋" w:cs="仿宋"/>
          <w:sz w:val="32"/>
          <w:szCs w:val="32"/>
        </w:rPr>
        <w:t>效完成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情况进</w:t>
      </w:r>
      <w:r>
        <w:rPr>
          <w:rFonts w:hint="eastAsia" w:ascii="仿宋" w:hAnsi="仿宋" w:eastAsia="仿宋" w:cs="仿宋"/>
          <w:sz w:val="32"/>
          <w:szCs w:val="32"/>
        </w:rPr>
        <w:t>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客</w:t>
      </w:r>
      <w:r>
        <w:rPr>
          <w:rFonts w:hint="eastAsia" w:ascii="仿宋" w:hAnsi="仿宋" w:eastAsia="仿宋" w:cs="仿宋"/>
          <w:sz w:val="32"/>
          <w:szCs w:val="32"/>
        </w:rPr>
        <w:t>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</w:t>
      </w:r>
      <w:r>
        <w:rPr>
          <w:rFonts w:hint="eastAsia" w:ascii="仿宋" w:hAnsi="仿宋" w:eastAsia="仿宋" w:cs="仿宋"/>
          <w:sz w:val="32"/>
          <w:szCs w:val="32"/>
        </w:rPr>
        <w:t>、公正的评价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ilvl w:val="0"/>
          <w:numId w:val="2"/>
        </w:numPr>
        <w:ind w:left="640" w:leftChars="0" w:firstLine="0" w:firstLineChars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预算及执行情况。</w:t>
      </w:r>
    </w:p>
    <w:p>
      <w:pPr>
        <w:numPr>
          <w:ilvl w:val="0"/>
          <w:numId w:val="0"/>
        </w:numPr>
        <w:ind w:left="640"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本年度项目预算金额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30万元，全年执行数为30万元，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执行率100%。</w:t>
      </w:r>
    </w:p>
    <w:p>
      <w:pPr>
        <w:numPr>
          <w:ilvl w:val="0"/>
          <w:numId w:val="3"/>
        </w:numPr>
        <w:ind w:left="480" w:leftChars="0" w:firstLine="320" w:firstLineChars="1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绩效实现情况</w:t>
      </w:r>
    </w:p>
    <w:p>
      <w:pPr>
        <w:numPr>
          <w:ilvl w:val="0"/>
          <w:numId w:val="4"/>
        </w:num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履职完成情况：本年度进场交易项目合计371个，参与公共资源交易公司家数合计5306个，实现开标场次401次，发布交易信息总计1696条。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（二）履职效果情况：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shd w:val="clear" w:color="auto" w:fill="FFFFFF"/>
        </w:rPr>
        <w:t>坚持以项目建设为中心，不断优化服务，扎实推进公共资源交易提速增效。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2020年全年共完成政府采购、工程建设、国有及集体产权交易项目296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 w:bidi="ar-SA"/>
        </w:rPr>
        <w:t>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，实现交易金额653375.1万元，增收174.5万元，节约资金共29639.4万元，取得了较好的经济效益和社会效益。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1.政府采购。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2020年共完成政府采购项目共计237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 w:bidi="ar-SA"/>
        </w:rPr>
        <w:t>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，采购预算金额9423.4万元,中标金额9011.2万元,共计节约资金412.2万元,节资率为4.3%。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2.工程建设招投标。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 w:bidi="ar-SA"/>
        </w:rPr>
        <w:t>2020年共完成工程建设项目招投标项目55宗（含EPC项目11宗） ,投资预算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金额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 w:bidi="ar-SA"/>
        </w:rPr>
        <w:t>673591.1万元,中标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金额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 w:bidi="ar-SA"/>
        </w:rPr>
        <w:t>644363.9万元,共计节约资金29227.2万元,节资率为4.3%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3.国有及集体产权交易。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 w:bidi="ar-SA"/>
        </w:rPr>
        <w:t>2020年共完成国有及集体产权交易项目4宗，起始价441.8万元，成交金额616.3万元，溢价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174.5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 w:bidi="ar-SA"/>
        </w:rPr>
        <w:t>，溢价率为39.5%。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三、整体支出绩效中</w:t>
      </w:r>
      <w:r>
        <w:rPr>
          <w:rFonts w:hint="eastAsia" w:ascii="仿宋" w:hAnsi="仿宋" w:eastAsia="仿宋" w:cs="仿宋"/>
          <w:sz w:val="32"/>
          <w:szCs w:val="32"/>
        </w:rPr>
        <w:t>存在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问题及改时措施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1、存在的问题：</w:t>
      </w:r>
      <w:r>
        <w:rPr>
          <w:rFonts w:hint="eastAsia" w:ascii="仿宋" w:hAnsi="仿宋" w:eastAsia="仿宋" w:cs="仿宋"/>
          <w:sz w:val="32"/>
          <w:szCs w:val="32"/>
        </w:rPr>
        <w:t>通过对2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020</w:t>
      </w:r>
      <w:r>
        <w:rPr>
          <w:rFonts w:hint="eastAsia" w:ascii="仿宋" w:hAnsi="仿宋" w:eastAsia="仿宋" w:cs="仿宋"/>
          <w:sz w:val="32"/>
          <w:szCs w:val="32"/>
        </w:rPr>
        <w:t>年项目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支出</w:t>
      </w:r>
      <w:r>
        <w:rPr>
          <w:rFonts w:hint="eastAsia" w:ascii="仿宋" w:hAnsi="仿宋" w:eastAsia="仿宋" w:cs="仿宋"/>
          <w:sz w:val="32"/>
          <w:szCs w:val="32"/>
        </w:rPr>
        <w:t>的自评结果分析，我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中心</w:t>
      </w:r>
      <w:r>
        <w:rPr>
          <w:rFonts w:hint="eastAsia" w:ascii="仿宋" w:hAnsi="仿宋" w:eastAsia="仿宋" w:cs="仿宋"/>
          <w:sz w:val="32"/>
          <w:szCs w:val="32"/>
        </w:rPr>
        <w:t>在项目支出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绩</w:t>
      </w:r>
      <w:r>
        <w:rPr>
          <w:rFonts w:hint="eastAsia" w:ascii="仿宋" w:hAnsi="仿宋" w:eastAsia="仿宋" w:cs="仿宋"/>
          <w:sz w:val="32"/>
          <w:szCs w:val="32"/>
        </w:rPr>
        <w:t>效管理中存在的主要问题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是数量指标和经济效益指标生态效益指标方面需要不断完善。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改进方向和具体措施：</w:t>
      </w:r>
      <w:r>
        <w:rPr>
          <w:rFonts w:hint="eastAsia" w:ascii="仿宋" w:hAnsi="仿宋" w:eastAsia="仿宋" w:cs="仿宋"/>
          <w:sz w:val="32"/>
          <w:szCs w:val="32"/>
        </w:rPr>
        <w:t>强化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绩效</w:t>
      </w:r>
      <w:r>
        <w:rPr>
          <w:rFonts w:hint="eastAsia" w:ascii="仿宋" w:hAnsi="仿宋" w:eastAsia="仿宋" w:cs="仿宋"/>
          <w:sz w:val="32"/>
          <w:szCs w:val="32"/>
        </w:rPr>
        <w:t>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念</w:t>
      </w:r>
      <w:r>
        <w:rPr>
          <w:rFonts w:hint="eastAsia" w:ascii="仿宋" w:hAnsi="仿宋" w:eastAsia="仿宋" w:cs="仿宋"/>
          <w:sz w:val="32"/>
          <w:szCs w:val="32"/>
        </w:rPr>
        <w:t>，深入推进评价工作，进一步强化单位绩效管理念，将“要我评价”的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被</w:t>
      </w:r>
      <w:r>
        <w:rPr>
          <w:rFonts w:hint="eastAsia" w:ascii="仿宋" w:hAnsi="仿宋" w:eastAsia="仿宋" w:cs="仿宋"/>
          <w:sz w:val="32"/>
          <w:szCs w:val="32"/>
        </w:rPr>
        <w:t>动认识转化为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我要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评</w:t>
      </w:r>
      <w:r>
        <w:rPr>
          <w:rFonts w:hint="eastAsia" w:ascii="仿宋" w:hAnsi="仿宋" w:eastAsia="仿宋" w:cs="仿宋"/>
          <w:sz w:val="32"/>
          <w:szCs w:val="32"/>
        </w:rPr>
        <w:t>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”的主动实践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健全完善制度办法、</w:t>
      </w:r>
      <w:r>
        <w:rPr>
          <w:rFonts w:hint="eastAsia" w:ascii="仿宋" w:hAnsi="仿宋" w:eastAsia="仿宋" w:cs="仿宋"/>
          <w:sz w:val="32"/>
          <w:szCs w:val="32"/>
        </w:rPr>
        <w:t>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实</w:t>
      </w:r>
      <w:r>
        <w:rPr>
          <w:rFonts w:hint="eastAsia" w:ascii="仿宋" w:hAnsi="仿宋" w:eastAsia="仿宋" w:cs="仿宋"/>
          <w:sz w:val="32"/>
          <w:szCs w:val="32"/>
        </w:rPr>
        <w:t>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强</w:t>
      </w:r>
      <w:r>
        <w:rPr>
          <w:rFonts w:hint="eastAsia" w:ascii="仿宋" w:hAnsi="仿宋" w:eastAsia="仿宋" w:cs="仿宋"/>
          <w:sz w:val="32"/>
          <w:szCs w:val="32"/>
        </w:rPr>
        <w:t>组织领导，深入推进评价工作，提升整体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绩</w:t>
      </w:r>
      <w:r>
        <w:rPr>
          <w:rFonts w:hint="eastAsia" w:ascii="仿宋" w:hAnsi="仿宋" w:eastAsia="仿宋" w:cs="仿宋"/>
          <w:sz w:val="32"/>
          <w:szCs w:val="32"/>
        </w:rPr>
        <w:t>效管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理</w:t>
      </w:r>
      <w:r>
        <w:rPr>
          <w:rFonts w:hint="eastAsia" w:ascii="仿宋" w:hAnsi="仿宋" w:eastAsia="仿宋" w:cs="仿宋"/>
          <w:sz w:val="32"/>
          <w:szCs w:val="32"/>
        </w:rPr>
        <w:t>水平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强化事前准备，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提</w:t>
      </w:r>
      <w:r>
        <w:rPr>
          <w:rFonts w:hint="eastAsia" w:ascii="仿宋" w:hAnsi="仿宋" w:eastAsia="仿宋" w:cs="仿宋"/>
          <w:sz w:val="32"/>
          <w:szCs w:val="32"/>
        </w:rPr>
        <w:t>升评价质量，在推进自身评价工作开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展</w:t>
      </w:r>
      <w:r>
        <w:rPr>
          <w:rFonts w:hint="eastAsia" w:ascii="仿宋" w:hAnsi="仿宋" w:eastAsia="仿宋" w:cs="仿宋"/>
          <w:sz w:val="32"/>
          <w:szCs w:val="32"/>
        </w:rPr>
        <w:t>时，结台评价工作实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际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规范评价标准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预设评价重点，</w:t>
      </w:r>
      <w:r>
        <w:rPr>
          <w:rFonts w:hint="eastAsia" w:ascii="仿宋" w:hAnsi="仿宋" w:eastAsia="仿宋" w:cs="仿宋"/>
          <w:sz w:val="32"/>
          <w:szCs w:val="32"/>
        </w:rPr>
        <w:t>确保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绩</w:t>
      </w:r>
      <w:r>
        <w:rPr>
          <w:rFonts w:hint="eastAsia" w:ascii="仿宋" w:hAnsi="仿宋" w:eastAsia="仿宋" w:cs="仿宋"/>
          <w:sz w:val="32"/>
          <w:szCs w:val="32"/>
        </w:rPr>
        <w:t>效评价结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果</w:t>
      </w:r>
      <w:r>
        <w:rPr>
          <w:rFonts w:hint="eastAsia" w:ascii="仿宋" w:hAnsi="仿宋" w:eastAsia="仿宋" w:cs="仿宋"/>
          <w:sz w:val="32"/>
          <w:szCs w:val="32"/>
        </w:rPr>
        <w:t>公正，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客</w:t>
      </w:r>
      <w:r>
        <w:rPr>
          <w:rFonts w:hint="eastAsia" w:ascii="仿宋" w:hAnsi="仿宋" w:eastAsia="仿宋" w:cs="仿宋"/>
          <w:sz w:val="32"/>
          <w:szCs w:val="32"/>
        </w:rPr>
        <w:t>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准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真</w:t>
      </w:r>
      <w:r>
        <w:rPr>
          <w:rFonts w:hint="eastAsia" w:ascii="仿宋" w:hAnsi="仿宋" w:eastAsia="仿宋" w:cs="仿宋"/>
          <w:sz w:val="32"/>
          <w:szCs w:val="32"/>
        </w:rPr>
        <w:t>实反映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绩</w:t>
      </w:r>
      <w:r>
        <w:rPr>
          <w:rFonts w:hint="eastAsia" w:ascii="仿宋" w:hAnsi="仿宋" w:eastAsia="仿宋" w:cs="仿宋"/>
          <w:sz w:val="32"/>
          <w:szCs w:val="32"/>
        </w:rPr>
        <w:t>效，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如</w:t>
      </w:r>
      <w:r>
        <w:rPr>
          <w:rFonts w:hint="eastAsia" w:ascii="仿宋" w:hAnsi="仿宋" w:eastAsia="仿宋" w:cs="仿宋"/>
          <w:sz w:val="32"/>
          <w:szCs w:val="32"/>
        </w:rPr>
        <w:t>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反映问题；</w:t>
      </w:r>
      <w:r>
        <w:rPr>
          <w:rFonts w:hint="eastAsia" w:ascii="仿宋" w:hAnsi="仿宋" w:eastAsia="仿宋" w:cs="仿宋"/>
          <w:sz w:val="32"/>
          <w:szCs w:val="32"/>
        </w:rPr>
        <w:t>强化结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果</w:t>
      </w:r>
      <w:r>
        <w:rPr>
          <w:rFonts w:hint="eastAsia" w:ascii="仿宋" w:hAnsi="仿宋" w:eastAsia="仿宋" w:cs="仿宋"/>
          <w:sz w:val="32"/>
          <w:szCs w:val="32"/>
        </w:rPr>
        <w:t>应用，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巩固</w:t>
      </w:r>
      <w:r>
        <w:rPr>
          <w:rFonts w:hint="eastAsia" w:ascii="仿宋" w:hAnsi="仿宋" w:eastAsia="仿宋" w:cs="仿宋"/>
          <w:sz w:val="32"/>
          <w:szCs w:val="32"/>
        </w:rPr>
        <w:t>评价成效。以开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展绩效评价</w:t>
      </w:r>
      <w:r>
        <w:rPr>
          <w:rFonts w:hint="eastAsia" w:ascii="仿宋" w:hAnsi="仿宋" w:eastAsia="仿宋" w:cs="仿宋"/>
          <w:sz w:val="32"/>
          <w:szCs w:val="32"/>
        </w:rPr>
        <w:t>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契</w:t>
      </w:r>
      <w:r>
        <w:rPr>
          <w:rFonts w:hint="eastAsia" w:ascii="仿宋" w:hAnsi="仿宋" w:eastAsia="仿宋" w:cs="仿宋"/>
          <w:sz w:val="32"/>
          <w:szCs w:val="32"/>
        </w:rPr>
        <w:t>机，强化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结果</w:t>
      </w:r>
      <w:r>
        <w:rPr>
          <w:rFonts w:hint="eastAsia" w:ascii="仿宋" w:hAnsi="仿宋" w:eastAsia="仿宋" w:cs="仿宋"/>
          <w:sz w:val="32"/>
          <w:szCs w:val="32"/>
        </w:rPr>
        <w:t>应用，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更好地促进我市公共资源交易事业的发展。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四、绩效自评效果拟应用和公开情况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把绩效自评体现在时效指标、数量指标、经济效益指标、可持续影响指标、服务对象满意度指标等方面，力争用最少的资金得到最大的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经济和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社会效益，力争让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交易双方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满意，群众满意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较好的促进了进场交易的各类公共资源交易项目的顺利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实施。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4800" w:firstLineChars="16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bookmarkStart w:id="1" w:name="_GoBack"/>
      <w:bookmarkEnd w:id="1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2021年7月15日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FCF051"/>
    <w:multiLevelType w:val="singleLevel"/>
    <w:tmpl w:val="82FCF051"/>
    <w:lvl w:ilvl="0" w:tentative="0">
      <w:start w:val="3"/>
      <w:numFmt w:val="chineseCounting"/>
      <w:suff w:val="nothing"/>
      <w:lvlText w:val="（%1）"/>
      <w:lvlJc w:val="left"/>
      <w:pPr>
        <w:ind w:left="640" w:leftChars="0" w:firstLine="0" w:firstLineChars="0"/>
      </w:pPr>
      <w:rPr>
        <w:rFonts w:hint="eastAsia"/>
      </w:rPr>
    </w:lvl>
  </w:abstractNum>
  <w:abstractNum w:abstractNumId="1">
    <w:nsid w:val="FCB97A07"/>
    <w:multiLevelType w:val="singleLevel"/>
    <w:tmpl w:val="FCB97A0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69F79EB4"/>
    <w:multiLevelType w:val="singleLevel"/>
    <w:tmpl w:val="69F79EB4"/>
    <w:lvl w:ilvl="0" w:tentative="0">
      <w:start w:val="3"/>
      <w:numFmt w:val="decimal"/>
      <w:suff w:val="nothing"/>
      <w:lvlText w:val="%1、"/>
      <w:lvlJc w:val="left"/>
    </w:lvl>
  </w:abstractNum>
  <w:abstractNum w:abstractNumId="3">
    <w:nsid w:val="7CF43A71"/>
    <w:multiLevelType w:val="singleLevel"/>
    <w:tmpl w:val="7CF43A7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11339"/>
    <w:rsid w:val="201A4109"/>
    <w:rsid w:val="26D11339"/>
    <w:rsid w:val="303713EA"/>
    <w:rsid w:val="53236A9F"/>
    <w:rsid w:val="5367353F"/>
    <w:rsid w:val="562B04DE"/>
    <w:rsid w:val="57B6020C"/>
    <w:rsid w:val="5C2911F2"/>
    <w:rsid w:val="63C0424D"/>
    <w:rsid w:val="76FF0E89"/>
    <w:rsid w:val="79E61904"/>
    <w:rsid w:val="7D4A6E9B"/>
    <w:rsid w:val="7FFA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3"/>
    <w:next w:val="3"/>
    <w:qFormat/>
    <w:uiPriority w:val="99"/>
    <w:pPr>
      <w:spacing w:after="120"/>
      <w:ind w:left="420" w:leftChars="200"/>
    </w:pPr>
  </w:style>
  <w:style w:type="paragraph" w:styleId="3">
    <w:name w:val="Normal Indent"/>
    <w:basedOn w:val="1"/>
    <w:next w:val="1"/>
    <w:qFormat/>
    <w:uiPriority w:val="0"/>
    <w:pPr>
      <w:ind w:firstLine="420" w:firstLineChars="200"/>
    </w:p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Emphasis"/>
    <w:basedOn w:val="6"/>
    <w:qFormat/>
    <w:uiPriority w:val="0"/>
    <w:rPr>
      <w:rFonts w:hint="eastAsia" w:ascii="微软雅黑" w:hAnsi="微软雅黑" w:eastAsia="微软雅黑" w:cs="微软雅黑"/>
    </w:rPr>
  </w:style>
  <w:style w:type="character" w:styleId="9">
    <w:name w:val="Hyperlink"/>
    <w:basedOn w:val="6"/>
    <w:qFormat/>
    <w:uiPriority w:val="0"/>
    <w:rPr>
      <w:color w:val="333333"/>
      <w:u w:val="none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1">
    <w:name w:val="text"/>
    <w:basedOn w:val="6"/>
    <w:qFormat/>
    <w:uiPriority w:val="0"/>
    <w:rPr>
      <w:color w:val="666666"/>
    </w:rPr>
  </w:style>
  <w:style w:type="character" w:customStyle="1" w:styleId="12">
    <w:name w:val="hover19"/>
    <w:basedOn w:val="6"/>
    <w:qFormat/>
    <w:uiPriority w:val="0"/>
    <w:rPr>
      <w:color w:val="000000"/>
      <w:shd w:val="clear" w:fill="FFFFFF"/>
    </w:rPr>
  </w:style>
  <w:style w:type="character" w:customStyle="1" w:styleId="13">
    <w:name w:val="after"/>
    <w:basedOn w:val="6"/>
    <w:qFormat/>
    <w:uiPriority w:val="0"/>
    <w:rPr>
      <w:shd w:val="clear" w:fill="FFFFFF"/>
    </w:rPr>
  </w:style>
  <w:style w:type="character" w:customStyle="1" w:styleId="14">
    <w:name w:val="bsharetext"/>
    <w:basedOn w:val="6"/>
    <w:qFormat/>
    <w:uiPriority w:val="0"/>
  </w:style>
  <w:style w:type="character" w:customStyle="1" w:styleId="15">
    <w:name w:val="last"/>
    <w:basedOn w:val="6"/>
    <w:qFormat/>
    <w:uiPriority w:val="0"/>
  </w:style>
  <w:style w:type="character" w:customStyle="1" w:styleId="16">
    <w:name w:val="wx-space"/>
    <w:basedOn w:val="6"/>
    <w:qFormat/>
    <w:uiPriority w:val="0"/>
  </w:style>
  <w:style w:type="character" w:customStyle="1" w:styleId="17">
    <w:name w:val="hover20"/>
    <w:basedOn w:val="6"/>
    <w:qFormat/>
    <w:uiPriority w:val="0"/>
    <w:rPr>
      <w:color w:val="000000"/>
      <w:shd w:val="clear" w:fill="FFFFFF"/>
    </w:rPr>
  </w:style>
  <w:style w:type="character" w:customStyle="1" w:styleId="18">
    <w:name w:val="wx-space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2020-07-02T08:25:00Z</dcterms:created>
  <dc:creator>123</dc:creator>
  <cp:lastModifiedBy>白开水</cp:lastModifiedBy>
  <dcterms:modified xsi:type="dcterms:W3CDTF">2021-07-16T06:19:07Z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BB6A1EB087D04D7B9F996FE38F5B09DD</vt:lpwstr>
  </property>
</Properties>
</file>