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-20"/>
          <w:kern w:val="0"/>
          <w:sz w:val="44"/>
          <w:szCs w:val="44"/>
          <w:highlight w:val="none"/>
        </w:rPr>
      </w:pPr>
      <w:bookmarkStart w:id="0" w:name="_GoBack"/>
      <w:bookmarkEnd w:id="0"/>
      <w:r>
        <w:rPr>
          <w:rFonts w:hint="eastAsia" w:ascii="黑体" w:eastAsia="黑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-289560</wp:posOffset>
                </wp:positionV>
                <wp:extent cx="1485900" cy="495300"/>
                <wp:effectExtent l="4445" t="4445" r="14605" b="1460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07720" y="538480"/>
                          <a:ext cx="1485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市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六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届人大</w:t>
                            </w: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六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次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会议文件之</w:t>
                            </w: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三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6pt;margin-top:-22.8pt;height:39pt;width:117pt;z-index:251659264;mso-width-relative:page;mso-height-relative:page;" fillcolor="#FFFFFF" filled="t" stroked="t" coordsize="21600,21600" o:gfxdata="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H6oexvYAAAACQEAAA8AAAAAAAAAAQAgAAAAIgAAAGRycy9kb3ducmV2LnhtbFBL&#10;AQIUABQAAAAIAIdO4kDmxZeELwIAAHQEAAAOAAAAAAAAAAEAIAAAACcBAABkcnMvZTJvRG9jLnht&#10;bFBLBQYAAAAABgAGAFkBAADI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市</w:t>
                      </w: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六</w:t>
                      </w:r>
                      <w:r>
                        <w:rPr>
                          <w:rFonts w:hint="eastAsia"/>
                          <w:sz w:val="24"/>
                        </w:rPr>
                        <w:t>届人大</w:t>
                      </w: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>六</w:t>
                      </w:r>
                      <w:r>
                        <w:rPr>
                          <w:rFonts w:hint="eastAsia"/>
                          <w:sz w:val="24"/>
                        </w:rPr>
                        <w:t>次</w:t>
                      </w:r>
                    </w:p>
                    <w:p>
                      <w:pPr>
                        <w:jc w:val="center"/>
                        <w:rPr>
                          <w:rFonts w:hint="default" w:eastAsia="宋体"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会议文件之</w:t>
                      </w: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>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Cs/>
          <w:spacing w:val="0"/>
          <w:kern w:val="0"/>
          <w:sz w:val="44"/>
          <w:szCs w:val="44"/>
          <w:highlight w:val="none"/>
        </w:rPr>
      </w:pPr>
      <w:r>
        <w:rPr>
          <w:rFonts w:hint="eastAsia" w:ascii="黑体" w:hAnsi="黑体" w:eastAsia="黑体" w:cs="黑体"/>
          <w:bCs/>
          <w:spacing w:val="0"/>
          <w:kern w:val="0"/>
          <w:sz w:val="44"/>
          <w:szCs w:val="44"/>
          <w:highlight w:val="none"/>
        </w:rPr>
        <w:t>关于瑞金市20</w:t>
      </w:r>
      <w:r>
        <w:rPr>
          <w:rFonts w:hint="eastAsia" w:ascii="黑体" w:hAnsi="黑体" w:eastAsia="黑体" w:cs="黑体"/>
          <w:bCs/>
          <w:spacing w:val="0"/>
          <w:kern w:val="0"/>
          <w:sz w:val="44"/>
          <w:szCs w:val="44"/>
          <w:highlight w:val="none"/>
          <w:lang w:val="en-US" w:eastAsia="zh-CN"/>
        </w:rPr>
        <w:t>20</w:t>
      </w:r>
      <w:r>
        <w:rPr>
          <w:rFonts w:hint="eastAsia" w:ascii="黑体" w:hAnsi="黑体" w:eastAsia="黑体" w:cs="黑体"/>
          <w:bCs/>
          <w:spacing w:val="0"/>
          <w:kern w:val="0"/>
          <w:sz w:val="44"/>
          <w:szCs w:val="44"/>
          <w:highlight w:val="none"/>
        </w:rPr>
        <w:t>年全市和市本级预算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Cs/>
          <w:spacing w:val="0"/>
          <w:kern w:val="0"/>
          <w:sz w:val="44"/>
          <w:szCs w:val="44"/>
          <w:highlight w:val="none"/>
        </w:rPr>
      </w:pPr>
      <w:r>
        <w:rPr>
          <w:rFonts w:hint="eastAsia" w:ascii="黑体" w:hAnsi="黑体" w:eastAsia="黑体" w:cs="黑体"/>
          <w:bCs/>
          <w:spacing w:val="0"/>
          <w:kern w:val="0"/>
          <w:sz w:val="44"/>
          <w:szCs w:val="44"/>
          <w:highlight w:val="none"/>
        </w:rPr>
        <w:t>执行情况及202</w:t>
      </w:r>
      <w:r>
        <w:rPr>
          <w:rFonts w:hint="eastAsia" w:ascii="黑体" w:hAnsi="黑体" w:eastAsia="黑体" w:cs="黑体"/>
          <w:bCs/>
          <w:spacing w:val="0"/>
          <w:kern w:val="0"/>
          <w:sz w:val="44"/>
          <w:szCs w:val="44"/>
          <w:highlight w:val="none"/>
          <w:lang w:val="en-US" w:eastAsia="zh-CN"/>
        </w:rPr>
        <w:t>1</w:t>
      </w:r>
      <w:r>
        <w:rPr>
          <w:rFonts w:hint="eastAsia" w:ascii="黑体" w:hAnsi="黑体" w:eastAsia="黑体" w:cs="黑体"/>
          <w:bCs/>
          <w:spacing w:val="0"/>
          <w:kern w:val="0"/>
          <w:sz w:val="44"/>
          <w:szCs w:val="44"/>
          <w:highlight w:val="none"/>
        </w:rPr>
        <w:t>年全市和市本级预算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Cs/>
          <w:spacing w:val="0"/>
          <w:kern w:val="0"/>
          <w:sz w:val="44"/>
          <w:szCs w:val="44"/>
          <w:highlight w:val="none"/>
        </w:rPr>
      </w:pPr>
      <w:r>
        <w:rPr>
          <w:rFonts w:hint="eastAsia" w:ascii="黑体" w:hAnsi="黑体" w:eastAsia="黑体" w:cs="黑体"/>
          <w:bCs/>
          <w:spacing w:val="0"/>
          <w:kern w:val="0"/>
          <w:sz w:val="44"/>
          <w:szCs w:val="44"/>
          <w:highlight w:val="none"/>
        </w:rPr>
        <w:t>草案的报告(草案)</w:t>
      </w:r>
    </w:p>
    <w:p>
      <w:pPr>
        <w:keepNext w:val="0"/>
        <w:keepLines w:val="0"/>
        <w:pageBreakBefore w:val="0"/>
        <w:widowControl w:val="0"/>
        <w:tabs>
          <w:tab w:val="left" w:pos="4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spacing w:val="-12"/>
          <w:w w:val="9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4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spacing w:val="-16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pacing w:val="-12"/>
          <w:w w:val="98"/>
          <w:sz w:val="30"/>
          <w:szCs w:val="30"/>
        </w:rPr>
        <w:t>——20</w:t>
      </w:r>
      <w:r>
        <w:rPr>
          <w:rFonts w:hint="eastAsia" w:ascii="仿宋_GB2312" w:hAnsi="仿宋_GB2312" w:eastAsia="仿宋_GB2312" w:cs="仿宋_GB2312"/>
          <w:color w:val="000000"/>
          <w:spacing w:val="-12"/>
          <w:w w:val="98"/>
          <w:sz w:val="30"/>
          <w:szCs w:val="30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/>
          <w:spacing w:val="-12"/>
          <w:w w:val="98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color w:val="000000"/>
          <w:spacing w:val="-12"/>
          <w:w w:val="98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pacing w:val="-12"/>
          <w:w w:val="98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color w:val="000000"/>
          <w:spacing w:val="-12"/>
          <w:w w:val="98"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pacing w:val="-12"/>
          <w:w w:val="98"/>
          <w:sz w:val="30"/>
          <w:szCs w:val="30"/>
        </w:rPr>
        <w:t>日在瑞金市第</w:t>
      </w:r>
      <w:r>
        <w:rPr>
          <w:rFonts w:hint="eastAsia" w:ascii="仿宋_GB2312" w:hAnsi="仿宋_GB2312" w:eastAsia="仿宋_GB2312" w:cs="仿宋_GB2312"/>
          <w:color w:val="000000"/>
          <w:spacing w:val="-12"/>
          <w:w w:val="98"/>
          <w:sz w:val="30"/>
          <w:szCs w:val="30"/>
          <w:lang w:eastAsia="zh-CN"/>
        </w:rPr>
        <w:t>六</w:t>
      </w:r>
      <w:r>
        <w:rPr>
          <w:rFonts w:hint="eastAsia" w:ascii="仿宋_GB2312" w:hAnsi="仿宋_GB2312" w:eastAsia="仿宋_GB2312" w:cs="仿宋_GB2312"/>
          <w:color w:val="000000"/>
          <w:spacing w:val="-12"/>
          <w:w w:val="98"/>
          <w:sz w:val="30"/>
          <w:szCs w:val="30"/>
        </w:rPr>
        <w:t>届人民代表大会第</w:t>
      </w:r>
      <w:r>
        <w:rPr>
          <w:rFonts w:hint="eastAsia" w:ascii="仿宋_GB2312" w:hAnsi="仿宋_GB2312" w:eastAsia="仿宋_GB2312" w:cs="仿宋_GB2312"/>
          <w:color w:val="000000"/>
          <w:spacing w:val="-12"/>
          <w:w w:val="98"/>
          <w:sz w:val="30"/>
          <w:szCs w:val="30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color w:val="000000"/>
          <w:spacing w:val="-12"/>
          <w:w w:val="98"/>
          <w:sz w:val="30"/>
          <w:szCs w:val="30"/>
        </w:rPr>
        <w:t>次会议上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楷体" w:hAnsi="楷体" w:eastAsia="楷体" w:cs="楷体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市财政局局长   钟 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各位代表：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b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受市人民政府委托，我向大会报告20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年全市和市本级预算执行情况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  <w:t>及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202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年全市预算草案，请予审议；向大会报告202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年市本级预算草案，请予审查批准。并请市政协委员和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  <w:t>其他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列席会议的同志提出意见。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sz w:val="32"/>
          <w:szCs w:val="32"/>
          <w:highlight w:val="none"/>
        </w:rPr>
        <w:t>一、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20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年全市和市本级预算执行情况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2020年，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  <w:t>是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极不平凡的一年。面对突如其来的新冠肺炎疫情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  <w:t>和复杂多变的外部环境，市财政部门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在市委</w:t>
      </w: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、市政府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的坚强领导下，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在市人大及其常委会依法监督和市政协民主监督下，</w:t>
      </w:r>
      <w:r>
        <w:rPr>
          <w:rFonts w:hint="eastAsia" w:ascii="楷体" w:hAnsi="楷体" w:eastAsia="楷体" w:cs="楷体"/>
          <w:sz w:val="32"/>
          <w:szCs w:val="32"/>
        </w:rPr>
        <w:t>坚持以习近平新时代中国特色社会主义思想为指导，深入学习习近平总书记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视察江西和赣州</w:t>
      </w:r>
      <w:r>
        <w:rPr>
          <w:rFonts w:hint="eastAsia" w:ascii="楷体" w:hAnsi="楷体" w:eastAsia="楷体" w:cs="楷体"/>
          <w:sz w:val="32"/>
          <w:szCs w:val="32"/>
        </w:rPr>
        <w:t>重要讲话精神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，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全面贯彻落实党的十九大和十九届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  <w:t>二中、三中、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四中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  <w:t>、五中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全会精神，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  <w:t>牢牢把握稳中求进工作总基调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，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全面贯彻新发展理念，落实高质量发展要求，统筹推进疫情防控和经济社会发展，</w:t>
      </w:r>
      <w:r>
        <w:rPr>
          <w:rFonts w:hint="eastAsia" w:ascii="楷体" w:hAnsi="楷体" w:eastAsia="楷体" w:cs="楷体"/>
          <w:sz w:val="32"/>
          <w:szCs w:val="32"/>
        </w:rPr>
        <w:t>坚决打好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中央部署的</w:t>
      </w:r>
      <w:r>
        <w:rPr>
          <w:rFonts w:hint="eastAsia" w:ascii="楷体" w:hAnsi="楷体" w:eastAsia="楷体" w:cs="楷体"/>
          <w:sz w:val="32"/>
          <w:szCs w:val="32"/>
        </w:rPr>
        <w:t>“三大攻坚战”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和全市“六大攻坚战”</w:t>
      </w:r>
      <w:r>
        <w:rPr>
          <w:rFonts w:hint="eastAsia" w:ascii="楷体" w:hAnsi="楷体" w:eastAsia="楷体" w:cs="楷体"/>
          <w:sz w:val="32"/>
          <w:szCs w:val="32"/>
        </w:rPr>
        <w:t>，扎实做好“六稳”“六保”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工作</w:t>
      </w:r>
      <w:r>
        <w:rPr>
          <w:rFonts w:hint="eastAsia" w:ascii="楷体" w:hAnsi="楷体" w:eastAsia="楷体" w:cs="楷体"/>
          <w:sz w:val="32"/>
          <w:szCs w:val="32"/>
        </w:rPr>
        <w:t>任务，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牢固树立</w:t>
      </w:r>
      <w:r>
        <w:rPr>
          <w:rFonts w:hint="eastAsia" w:ascii="楷体" w:hAnsi="楷体" w:eastAsia="楷体" w:cs="楷体"/>
          <w:sz w:val="32"/>
          <w:szCs w:val="32"/>
        </w:rPr>
        <w:t>过紧日子思想，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进一步</w:t>
      </w:r>
      <w:r>
        <w:rPr>
          <w:rFonts w:hint="eastAsia" w:ascii="楷体" w:hAnsi="楷体" w:eastAsia="楷体" w:cs="楷体"/>
          <w:sz w:val="32"/>
          <w:szCs w:val="32"/>
        </w:rPr>
        <w:t>调整优化支出结构，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强化</w:t>
      </w:r>
      <w:r>
        <w:rPr>
          <w:rFonts w:hint="eastAsia" w:ascii="楷体" w:hAnsi="楷体" w:eastAsia="楷体" w:cs="楷体"/>
          <w:sz w:val="32"/>
          <w:szCs w:val="32"/>
        </w:rPr>
        <w:t>预算管理，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较好地完成了财政工作任务</w:t>
      </w:r>
      <w:r>
        <w:rPr>
          <w:rFonts w:hint="eastAsia" w:ascii="楷体" w:hAnsi="楷体" w:eastAsia="楷体" w:cs="楷体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color w:val="0C0C0C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楷体"/>
          <w:color w:val="0C0C0C"/>
          <w:sz w:val="32"/>
          <w:szCs w:val="32"/>
          <w:highlight w:val="none"/>
        </w:rPr>
        <w:t>20</w:t>
      </w:r>
      <w:r>
        <w:rPr>
          <w:rFonts w:hint="eastAsia" w:ascii="楷体" w:hAnsi="楷体" w:eastAsia="楷体" w:cs="楷体"/>
          <w:color w:val="0C0C0C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楷体" w:hAnsi="楷体" w:eastAsia="楷体" w:cs="楷体"/>
          <w:color w:val="0C0C0C"/>
          <w:sz w:val="32"/>
          <w:szCs w:val="32"/>
          <w:highlight w:val="none"/>
        </w:rPr>
        <w:t>年，全市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财政总收入完成25.13亿元，同比增长2.3%；一般公共预算收入完成14.54亿元，同比增长3.8%。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highlight w:val="none"/>
          <w:lang w:val="en-US" w:eastAsia="zh-CN"/>
        </w:rPr>
        <w:t>一是财政收入稳中向好。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自4月份起，一般公共预算收入稳定增长，并持续好于全省、全赣州平均水平，财政总收入居全赣州第6位，比上年前移1位。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highlight w:val="none"/>
          <w:lang w:val="en-US" w:eastAsia="zh-CN"/>
        </w:rPr>
        <w:t>二是收入质量好于预期。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全市财政总收入税占比达到92.4%，一般公共预算收入税占比达到86.8%，分别超出预期目标2.6、4.9个百分点。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highlight w:val="none"/>
          <w:lang w:val="en-US" w:eastAsia="zh-CN"/>
        </w:rPr>
        <w:t>三是重点支出保障有序。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坚持将有限资金用在“刀刃”上，合理保障重点支出。全市民生类支出55.32亿元，占一般公共预算支出比重达到86.5%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。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  <w:t>同时，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安排资金0.55亿元，用于医用物资采购、医护人员食宿、援鄂人员慰问、集中隔离点支出等，为我市新冠肺炎疫情防控零感染提供了坚实的财力保障。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sz w:val="32"/>
          <w:szCs w:val="32"/>
          <w:highlight w:val="none"/>
        </w:rPr>
        <w:t>（一）全市预算执行情况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color w:val="000000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color w:val="000000"/>
          <w:sz w:val="32"/>
          <w:szCs w:val="32"/>
          <w:highlight w:val="none"/>
        </w:rPr>
        <w:t>1.一般公共预算执行情况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全市财政总收入完成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251282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万元，完成预算的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97.5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%，同比增收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5748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万元，增长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2.3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%。其中：税收收入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232140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万元，完成预算的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100.3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%；非税收入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19142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万元，完成预算的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72.5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全市一般公共预算收入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  <w:t>完成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145379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万元，完成预算的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99.8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%，同比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  <w:t>增收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5275万元，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增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  <w:t>长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3.8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%。其中：税收收入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126237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万元，完成预算的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105.8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%；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  <w:t>非税收入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19142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万元，完成预算的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72.5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全市一般公共预算支出完成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639501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万元，完成调整预算的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189.7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%，同比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  <w:t>减支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28637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  <w:t>下降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4.3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%。主要支出项目预算执行情况：一般公共服务支出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38044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万元，完成调整预算的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116.6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%；公共安全支出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19800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万元，完成调整预算的1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20.2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%；教育支出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148889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万元，完成调整预算的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179.6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%；科学技术支出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38701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万元，完成调整预算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的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86.77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倍；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文化体育与传媒支出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14174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万元，完成调整预算的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212.5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%；社会保障和就业支出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74204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万元，完成调整预算的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139.4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%；卫生健康支出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66919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万元，完成调整预算的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247.1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%；节能环保支出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34722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万元，完成调整预算的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86.8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倍；城乡社区支出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24075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万元，完成调整预算的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173.6%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；农林水支出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89010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万元，完成调整预算的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152.4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%；交通运输支出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29907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万元，完成调整预算的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29.24倍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；资源勘探电力信息等支出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12848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万元，完成调整预算的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112.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7%；商业服务业等支出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1493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万元，完成调整预算的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646.3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%；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金融支出净增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13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万元；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自然资源海洋气象等支出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9364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万元，完成调整预算的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433.9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%；住房保障支出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20668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万元，完成调整预算的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133.6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%；粮油物资储备支出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1068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万元，完成调整预算的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106.9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%;灾害防治及应急管理支出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9087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万元，完成调整预算的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206.2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%；债务付息支出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6237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万元，完成调整预算的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100.1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%；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债务发行费用支出净增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51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万元；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其他支出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  <w:t>净增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227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color w:val="000000"/>
          <w:sz w:val="32"/>
          <w:szCs w:val="32"/>
          <w:highlight w:val="yellow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全市一般公共预算支出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639501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万元，较调整预算数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337075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万元增加3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02426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万元。</w:t>
      </w:r>
      <w:r>
        <w:rPr>
          <w:rFonts w:hint="eastAsia" w:ascii="楷体" w:hAnsi="楷体" w:eastAsia="楷体" w:cs="楷体"/>
          <w:b/>
          <w:sz w:val="32"/>
          <w:szCs w:val="32"/>
          <w:highlight w:val="none"/>
          <w:lang w:eastAsia="zh-CN"/>
        </w:rPr>
        <w:t>主要原因</w:t>
      </w:r>
      <w:r>
        <w:rPr>
          <w:rFonts w:hint="eastAsia" w:ascii="楷体" w:hAnsi="楷体" w:eastAsia="楷体" w:cs="楷体"/>
          <w:b/>
          <w:sz w:val="32"/>
          <w:szCs w:val="32"/>
          <w:highlight w:val="none"/>
        </w:rPr>
        <w:t>: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一是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上级补助收入较年初提前告知数增加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197547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万元，</w:t>
      </w: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增加的主要项目资金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：</w:t>
      </w: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一般性转移支付补助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30095万元，农业农村类专项转移支付补助43842.83万元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，</w:t>
      </w: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教育类专项转移支付补助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24722.85</w:t>
      </w: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万元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，</w:t>
      </w: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就业保障和医疗卫生等专项转移支付补助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25443.67万元，交通类专项转移支付补助35456万元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，中央基建投资</w:t>
      </w: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类专项转移支付补助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10292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万元</w:t>
      </w: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等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。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二是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加大一般公共预算与政府性基金</w:t>
      </w: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预算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、国有资本经营预算资金统筹使用力度，从政府性基金收入中调入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77000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万元</w:t>
      </w: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、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从国有资本经营预算收入中调入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00万元</w:t>
      </w: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至一般公共预算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，相应增加支出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78000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万元。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三是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大力盘活存量资金，从收回结余结转资金中调入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27200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万元，</w:t>
      </w: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安排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相应支出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27200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万元。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eastAsia="zh-CN"/>
        </w:rPr>
        <w:t>四是</w:t>
      </w: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一般公共预算收入短收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321万元。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sz w:val="32"/>
          <w:szCs w:val="32"/>
          <w:highlight w:val="none"/>
        </w:rPr>
        <w:t>2.政府性基金预算执行情况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全市政府性基金预算收入完成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433267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万元，完成预算的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212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%，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同比增收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253448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万元，增长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140.9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%。其中：国有土地收益基金收入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24667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万元，同比增收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15311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万元，增长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163.6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%；农业土地开发资金收入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1208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万元，同比增收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434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万元，增长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56.1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%；国有土地使用权出让收入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403648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万元，同比增收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237132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万元，增长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142.4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%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全市政府性基金预算支出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521672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万元，完成调整预算的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140.2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%，同比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  <w:t>增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支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455574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  <w:t>增长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689.2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%。其中：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  <w:t>城市社区事务支出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318845万元，同比增支269727万元，增长549.1%；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其他支出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164600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万元，同比增支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155105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万元，增长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16.34倍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；债务付息支出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8822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万元，同比增支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2649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万元，增长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42.9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%；</w:t>
      </w: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抗疫特别国债支出净增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28080万元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color w:val="000000"/>
          <w:sz w:val="32"/>
          <w:szCs w:val="32"/>
          <w:highlight w:val="yellow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全市政府性基金收入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433267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加上上级补助收入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33290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万元、上年结转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1951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万元和专项债券收入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141416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万元，基金收入总计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609924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万元，减去本年基金支出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521672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万元</w:t>
      </w: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、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上解支出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8701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万元</w:t>
      </w: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、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调出资金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77000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万元，年终结转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2551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sz w:val="32"/>
          <w:szCs w:val="32"/>
          <w:highlight w:val="none"/>
        </w:rPr>
        <w:t>3.社会保险基金预算执行情况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highlight w:val="yellow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全市社会保险基金预算收入完成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111986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万元，完成预算的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79.8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%，其中：保险费收入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56960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万元，财政补贴收入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50764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万元，转移收入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315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万元，上级补助收入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592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万元，利息及其他收入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3355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highlight w:val="yellow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全市社会保险基金预算支出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117723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万元，完成预算的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82.7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%，剔除上解支出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10396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万元，本级支出完成1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07327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万元。社会保险基金支出分项目情况：机关事业单位养老保险基金支出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26089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万元，城乡居民基本养老保险基金支出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11165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万元，城镇职工基本医疗保险基金支出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8859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万元，城乡居民基本医疗保险基金支出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59773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万元，失业保险基金支出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1441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color w:val="FF0000"/>
          <w:sz w:val="32"/>
          <w:szCs w:val="32"/>
          <w:highlight w:val="yellow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全市社会保险基金收入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111986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万元，加上上年结余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142950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万元，减去社会保险基金支出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107327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万元，减去上解支出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10396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万元，年终滚存结余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137213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sz w:val="32"/>
          <w:szCs w:val="32"/>
          <w:highlight w:val="none"/>
        </w:rPr>
        <w:t>4.国有资本经营预算执行情况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highlight w:val="yellow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全市国有资本经营预算收入完成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2370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万元，完成预算的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139.7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%，全市国有资本经营预算支出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1349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万元，完成预算的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77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highlight w:val="yellow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全市国有资本经营预算收入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2370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万元，加上上年结余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52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万元，国有资本经营预算收入总计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2422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万元，减去国有资本经营预算支出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1349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万元、调出资金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00万元，年终滚存结余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73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sz w:val="32"/>
          <w:szCs w:val="32"/>
          <w:highlight w:val="yellow"/>
        </w:rPr>
      </w:pPr>
      <w:r>
        <w:rPr>
          <w:rFonts w:hint="eastAsia" w:ascii="楷体" w:hAnsi="楷体" w:eastAsia="楷体" w:cs="楷体"/>
          <w:b/>
          <w:sz w:val="32"/>
          <w:szCs w:val="32"/>
          <w:highlight w:val="none"/>
        </w:rPr>
        <w:t>5.地方政府债券资金安排使用情况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20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年上级分配我市地方政府债券转贷资金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173115.5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万元。根据我市经济社会和民生事业发展的需要，我市新增地方政府债券资金</w:t>
      </w: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主要安排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是：瑞金市城北污水处理厂及截污干管延伸工程</w:t>
      </w: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项目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7944万元、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瑞金机场建设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12000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万元、城乡学校建设项目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16200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万元、瑞金市文化艺术中心六大场馆精装修及布展工程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7509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万元、乡村振兴发展项目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15500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万元、人民医院迁建项目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15000万元、妇幼保健院迁建项目7249万元、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红色旅游基础设施建设一期工程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10000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万元</w:t>
      </w: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、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高标准农田建设项目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2413.5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万元</w:t>
      </w: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、城区学校建设项目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10000万元、瑞金市返乡创业基地标准厂房建设二期及配套工程28500万元、瑞金市区域性养老院项目5000万元、瑞金经开区安置房（五工坑）建设项目10000万元、瑞金市2018年棚改安置房红都·新康园项目25800万元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。以上债券资金分配使用，已按照《中华人民共和国预算法》要求，及时向市人大常委会报告了支出预算调整方案，并经市六届人大常委会第</w:t>
      </w: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二十六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次会议批准执行。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sz w:val="32"/>
          <w:szCs w:val="32"/>
          <w:highlight w:val="none"/>
        </w:rPr>
        <w:t>（二）市本级预算执行情况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color w:val="000000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color w:val="000000"/>
          <w:sz w:val="32"/>
          <w:szCs w:val="32"/>
          <w:highlight w:val="none"/>
        </w:rPr>
        <w:t>1.市本级一般公共预算执行情况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  <w:t>市本级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财政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  <w:t>总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收入完成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251282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万元，完成预算的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97.5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%，同比增收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5748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万元，增长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2.3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%。其中：税收收入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232140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万元，完成预算的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100.3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%；非税收入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19142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万元，完成预算的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72.5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color w:val="000000"/>
          <w:sz w:val="32"/>
          <w:szCs w:val="32"/>
          <w:highlight w:val="yellow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  <w:t>市本级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一般公共预算收入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  <w:t>完成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145379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万元，完成预算的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99.8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%，同比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  <w:t>增收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5275万元，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增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  <w:t>长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3.8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%。其中：税收收入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126237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万元，完成预算的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105.8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%；非税收入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19142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万元，完成预算的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72.5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color w:val="000000"/>
          <w:sz w:val="32"/>
          <w:szCs w:val="32"/>
          <w:highlight w:val="yellow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市本级一般公共预算支出6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18662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万元（全市一般公共预算支出6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39501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万元减去补助乡镇支出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20839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万元），完成调整预算的1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83.5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%。市本级一般公共预算支出项目预算执行情况：一般公共服务支出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27743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万元，完成调整预算的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85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%；公共安全支出1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9800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万元，完成调整预算的1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20.2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%；教育支出14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888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9万元，完成调整预算的1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79.6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%；科学技术支出3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8701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万元，完成调整预算的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86.77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倍；文化体育与传媒支出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14174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万元，完成调整预算的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212.5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%；社会保障和就业支出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72963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万元，完成调整预算的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137.1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%；卫生健康支出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66400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万元，完成调整预算的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245.1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%；节能环保支出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34722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万元，完成调整预算的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86.81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倍；城乡社区支出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23613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万元，完成调整预算的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170.3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%；农林水支出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81526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万元，完成调整预算的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139.6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%；交通运输支出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29907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万元，完成调整预算的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29.24倍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；资源勘探电力信息等支出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12848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万元，完成调整预算的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112.7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%；商业服务业等支出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1493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万元，完成调整预算的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646.3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%；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金融支出净增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13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万元；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自然资源海洋气象等支出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9364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万元，完成调整预算的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433.9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%；住房保障支出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20473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万元，完成调整预算的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132.3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%；粮油物资储备支出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1068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万元，完成调整预算的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106.9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%；灾害防治及应急管理支出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8468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万元，完成调整预算的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192.1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%；债务付息支出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6237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万元，完成调整预算的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100.1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%；债务发行费用支出净增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51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  <w:t>；其他支出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净增209万元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color w:val="000000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color w:val="000000"/>
          <w:sz w:val="32"/>
          <w:szCs w:val="32"/>
          <w:highlight w:val="none"/>
        </w:rPr>
        <w:t>2.市本级政府性基金预算执行情况、市本级社保基金预算执行情况、市本级国有资本经营预算执行情况与全市的预算执行情况一致，因此不再重复报告。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sz w:val="32"/>
          <w:szCs w:val="32"/>
          <w:highlight w:val="none"/>
          <w:lang w:val="en-US" w:eastAsia="zh-CN"/>
        </w:rPr>
        <w:t>需要说明的是：</w:t>
      </w:r>
      <w:r>
        <w:rPr>
          <w:rFonts w:hint="eastAsia" w:ascii="楷体" w:hAnsi="楷体" w:eastAsia="楷体" w:cs="楷体"/>
          <w:b w:val="0"/>
          <w:bCs/>
          <w:sz w:val="32"/>
          <w:szCs w:val="32"/>
          <w:highlight w:val="none"/>
          <w:lang w:val="en-US" w:eastAsia="zh-CN"/>
        </w:rPr>
        <w:t>受突如其来的新冠肺炎疫情影响，全省和赣州市2020年主要经济指标预期目标作了调整，我市本着实事求是的原则，依照法定程序，全市财政总收入、一般公共预算收入预期目标分别调整为增长2.2%、3.6%，比年初预算目标分别下降了2.8和0.4个百分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sz w:val="32"/>
          <w:szCs w:val="32"/>
          <w:highlight w:val="none"/>
        </w:rPr>
        <w:t>（三）20</w:t>
      </w:r>
      <w:r>
        <w:rPr>
          <w:rFonts w:hint="eastAsia" w:ascii="楷体" w:hAnsi="楷体" w:eastAsia="楷体" w:cs="楷体"/>
          <w:b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楷体" w:hAnsi="楷体" w:eastAsia="楷体" w:cs="楷体"/>
          <w:b/>
          <w:sz w:val="32"/>
          <w:szCs w:val="32"/>
          <w:highlight w:val="none"/>
        </w:rPr>
        <w:t>年财政主要工作及特点</w:t>
      </w:r>
    </w:p>
    <w:p>
      <w:pPr>
        <w:keepNext w:val="0"/>
        <w:keepLines w:val="0"/>
        <w:pageBreakBefore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 w:val="0"/>
          <w:bCs/>
          <w:kern w:val="3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1.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eastAsia="zh-CN"/>
        </w:rPr>
        <w:t>多措并举促发展。</w:t>
      </w:r>
      <w:r>
        <w:rPr>
          <w:rFonts w:hint="eastAsia" w:ascii="楷体" w:hAnsi="楷体" w:eastAsia="楷体" w:cs="楷体"/>
          <w:b w:val="0"/>
          <w:bCs/>
          <w:sz w:val="32"/>
          <w:szCs w:val="32"/>
          <w:highlight w:val="none"/>
          <w:lang w:val="en-US" w:eastAsia="zh-CN"/>
        </w:rPr>
        <w:t>坚持积极财政政策更加积极有为，助推经济高质量发展。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eastAsia="zh-CN"/>
        </w:rPr>
        <w:t>一是全面落实减税降费政策。</w:t>
      </w:r>
      <w:r>
        <w:rPr>
          <w:rFonts w:hint="eastAsia" w:ascii="楷体" w:hAnsi="楷体" w:eastAsia="楷体" w:cs="楷体"/>
          <w:b w:val="0"/>
          <w:bCs/>
          <w:kern w:val="30"/>
          <w:sz w:val="32"/>
          <w:szCs w:val="32"/>
          <w:highlight w:val="none"/>
          <w:lang w:val="en-US" w:eastAsia="zh-CN"/>
        </w:rPr>
        <w:t>全市减税降费约1.57亿元,其中：积极落实西部大开发税收优惠政策，减免税收0.55亿元，惠及企业12户。同时，积极落实应对疫情稳定经济增长政策措施39条，</w:t>
      </w: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减免税款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0.51亿元，惠及</w:t>
      </w: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全市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企业293家</w:t>
      </w:r>
      <w:r>
        <w:rPr>
          <w:rFonts w:hint="eastAsia" w:ascii="楷体" w:hAnsi="楷体" w:eastAsia="楷体" w:cs="楷体"/>
          <w:b w:val="0"/>
          <w:bCs/>
          <w:kern w:val="30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eastAsia="zh-CN"/>
        </w:rPr>
        <w:t>二是灵活用好金融政策。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highlight w:val="none"/>
          <w:lang w:val="en-US" w:eastAsia="zh-CN" w:bidi="ar"/>
        </w:rPr>
        <w:t>累计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发放“财政惠农信贷通”贷款292笔1.31亿元；拨付“产业扶贫信贷通”贴息资金0.11亿元；发放财园、创业、小微三个信贷通贷款3.52亿元，为217户企业（含个体工商户）解决融资难题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highlight w:val="none"/>
          <w:lang w:val="en-US" w:eastAsia="zh-CN" w:bidi="ar"/>
        </w:rPr>
        <w:t>。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eastAsia="zh-CN"/>
        </w:rPr>
        <w:t>三是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积极兑现招商安商政策。</w:t>
      </w:r>
      <w:r>
        <w:rPr>
          <w:rFonts w:hint="eastAsia" w:ascii="楷体" w:hAnsi="楷体" w:eastAsia="楷体" w:cs="楷体"/>
          <w:b w:val="0"/>
          <w:bCs/>
          <w:kern w:val="30"/>
          <w:sz w:val="32"/>
          <w:szCs w:val="32"/>
          <w:highlight w:val="none"/>
          <w:lang w:val="en-US" w:eastAsia="zh-CN"/>
        </w:rPr>
        <w:t>拨付4.76亿元，狠抓高品质园区建设，支持工业企业强链补链，实现全年新增入规企业12家；统筹安排资金0.07亿元，鼓励企业创新发展，新增高新技术企业13家；拨付资金0.13亿元，全力推动招大引强，全年引进招商项目49个，总签约资金460亿元。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eastAsia="zh-CN"/>
        </w:rPr>
        <w:t>四是全力</w:t>
      </w:r>
      <w:r>
        <w:rPr>
          <w:rFonts w:hint="eastAsia" w:ascii="楷体" w:hAnsi="楷体" w:eastAsia="楷体" w:cs="楷体"/>
          <w:b/>
          <w:bCs w:val="0"/>
          <w:kern w:val="30"/>
          <w:sz w:val="32"/>
          <w:szCs w:val="32"/>
          <w:lang w:val="en-US" w:eastAsia="zh-CN"/>
        </w:rPr>
        <w:t>支持重点项目建设。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统筹安排资金25.14亿元，支持棚户区改造、人民医院周边道路、瑞金机场、瑞兴于快速交通走廊、文化艺术中心等项目建设</w:t>
      </w:r>
      <w:r>
        <w:rPr>
          <w:rFonts w:hint="eastAsia" w:ascii="楷体" w:hAnsi="楷体" w:eastAsia="楷体" w:cs="楷体"/>
          <w:b w:val="0"/>
          <w:bCs/>
          <w:kern w:val="30"/>
          <w:sz w:val="32"/>
          <w:szCs w:val="32"/>
          <w:lang w:val="en-US" w:eastAsia="zh-CN"/>
        </w:rPr>
        <w:t>。完成23个老旧小区改造，提升改造6个农贸市场，完成188.9公里农村公路升级改造等。</w:t>
      </w:r>
      <w:r>
        <w:rPr>
          <w:rFonts w:hint="eastAsia" w:ascii="楷体" w:hAnsi="楷体" w:eastAsia="楷体" w:cs="楷体"/>
          <w:b/>
          <w:bCs w:val="0"/>
          <w:kern w:val="30"/>
          <w:sz w:val="32"/>
          <w:szCs w:val="32"/>
          <w:lang w:val="en-US" w:eastAsia="zh-CN"/>
        </w:rPr>
        <w:t>五是大力助推乡村振兴。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积极争取资金0.26亿元，实施高标准农田建设，完成粮食播种植面积50.8万亩；统筹整合资金2.26亿元，支持美丽乡村建设及发展蔬菜、脐橙、油茶、白莲、烟叶等主导产业，建成百亩以上富硒农业产业基地30个，新增大棚蔬菜7000余亩、脐橙2.6万亩、油茶1.1万亩。</w:t>
      </w:r>
      <w:r>
        <w:rPr>
          <w:rFonts w:hint="eastAsia" w:ascii="楷体" w:hAnsi="楷体" w:eastAsia="楷体" w:cs="楷体"/>
          <w:b/>
          <w:bCs w:val="0"/>
          <w:kern w:val="30"/>
          <w:sz w:val="32"/>
          <w:szCs w:val="32"/>
          <w:lang w:val="en-US" w:eastAsia="zh-CN"/>
        </w:rPr>
        <w:t>六是着力补齐发展短板。</w:t>
      </w:r>
      <w:r>
        <w:rPr>
          <w:rFonts w:hint="eastAsia" w:ascii="楷体" w:hAnsi="楷体" w:eastAsia="楷体" w:cs="楷体"/>
          <w:b w:val="0"/>
          <w:bCs/>
          <w:kern w:val="30"/>
          <w:sz w:val="32"/>
          <w:szCs w:val="32"/>
          <w:lang w:val="en-US" w:eastAsia="zh-CN"/>
        </w:rPr>
        <w:t>争取新增地方政府债券资金17.31亿元，重点投向生态环保、教育和文化旅游等领域，着力补短板强弱项；争取抗疫特别国债资金2.81亿元，支持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疫情防控和助企纾困</w:t>
      </w:r>
      <w:r>
        <w:rPr>
          <w:rFonts w:hint="eastAsia" w:ascii="楷体" w:hAnsi="楷体" w:eastAsia="楷体" w:cs="楷体"/>
          <w:b w:val="0"/>
          <w:bCs/>
          <w:kern w:val="30"/>
          <w:sz w:val="32"/>
          <w:szCs w:val="32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2.集中财力保民生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。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坚持带头过紧日子，大力压减一般性支出，集约资金补齐民生短板。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eastAsia="zh-CN"/>
        </w:rPr>
        <w:t>一是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全力支持疫情防控阻击战。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按照“特事特办、急事急办”的原则，安排资金0.55亿元，统筹保障疫情防控物资，开通防控资金支付“快速通道”，全力支持开展疫情防控工作。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二是兜牢“三保”底线。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坚持把“三保”放在预算安排和库款调度的优先顺序，及时足额发放工资</w:t>
      </w:r>
      <w:r>
        <w:rPr>
          <w:rFonts w:hint="eastAsia" w:ascii="楷体" w:hAnsi="楷体" w:eastAsia="楷体" w:cs="楷体"/>
          <w:b w:val="0"/>
          <w:bCs/>
          <w:kern w:val="30"/>
          <w:sz w:val="32"/>
          <w:szCs w:val="32"/>
          <w:lang w:val="en-US" w:eastAsia="zh-CN"/>
        </w:rPr>
        <w:t>；</w:t>
      </w:r>
      <w:r>
        <w:rPr>
          <w:rFonts w:hint="eastAsia" w:ascii="楷体" w:hAnsi="楷体" w:eastAsia="楷体" w:cs="楷体"/>
          <w:bCs/>
          <w:kern w:val="30"/>
          <w:sz w:val="32"/>
          <w:szCs w:val="32"/>
          <w:lang w:val="en-US" w:eastAsia="zh-CN"/>
        </w:rPr>
        <w:t>增加公用经费标准1000元/人.年，达到7000元/人.年；持续加大民生投入，全市民生类支出占一般公共财政预算支出的比重稳定在</w:t>
      </w:r>
      <w:r>
        <w:rPr>
          <w:rFonts w:hint="eastAsia" w:ascii="楷体" w:hAnsi="楷体" w:eastAsia="楷体" w:cs="楷体"/>
          <w:bCs/>
          <w:kern w:val="30"/>
          <w:sz w:val="32"/>
          <w:szCs w:val="32"/>
          <w:highlight w:val="none"/>
          <w:lang w:val="en-US" w:eastAsia="zh-CN"/>
        </w:rPr>
        <w:t>85%以</w:t>
      </w:r>
      <w:r>
        <w:rPr>
          <w:rFonts w:hint="eastAsia" w:ascii="楷体" w:hAnsi="楷体" w:eastAsia="楷体" w:cs="楷体"/>
          <w:bCs/>
          <w:kern w:val="30"/>
          <w:sz w:val="32"/>
          <w:szCs w:val="32"/>
          <w:lang w:val="en-US" w:eastAsia="zh-CN"/>
        </w:rPr>
        <w:t>上。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三是稳步推进公平优质教育。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切实加大教育投入，</w:t>
      </w:r>
      <w:r>
        <w:rPr>
          <w:rFonts w:hint="eastAsia" w:ascii="楷体" w:hAnsi="楷体" w:eastAsia="楷体" w:cs="楷体"/>
          <w:bCs/>
          <w:kern w:val="30"/>
          <w:sz w:val="32"/>
          <w:szCs w:val="32"/>
          <w:highlight w:val="none"/>
          <w:lang w:val="en-US" w:eastAsia="zh-CN"/>
        </w:rPr>
        <w:t>全市教育支出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 xml:space="preserve"> 14.89亿元，占一般公共预算支出比重达到23.3%，超全省5个百分点。巩固义务教育基本均衡成果，完善职业教育和培训体系，实施21个城乡学校建设项目，中小学教学班“班班通”实现全覆盖。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四是积极构建现代公共文化服务体系。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val="en-US" w:eastAsia="zh-CN"/>
        </w:rPr>
        <w:t>拨付资金0.16亿元，全力打造“浴血瑞京”红色实景演艺项目，支持文化旅游市场复苏和繁荣；安排资金0.15亿元，用于新时代文明实践中心等文化和旅游领域建设；拨付资金0.04亿元，积极开展“送戏进万村”活动。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五是逐步完善社会保障体系。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val="en-US" w:eastAsia="zh-CN"/>
        </w:rPr>
        <w:t>拨付资金1.35亿元，为全市14839户31898名低保人员提供了基本生活保障；拨付资金0.34亿元，为全市3182名优抚对象及时足额发放优抚补助资金；拨付资金0.22亿元，进一步完善城乡社会救助体系；拨付资金0.98亿元，为全市15624名被征地农民安排养老保险缴费财政补贴；拨付资金0.14亿元，为全市12492名80周岁以上高龄老人及时足额发放老人长寿补贴。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六是优先补齐公共卫生服务领域短板。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val="en-US" w:eastAsia="zh-CN"/>
        </w:rPr>
        <w:t>安排资金0.29亿元，积极推进公立医院改革，全面实现公立医院药品零差价；拨付资金0.4亿元，为贫困户代缴城乡居民医疗保险和疾病商业补充保险，助力健康扶贫“四道医疗保障线”报销率达到90%以上。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七是支持保障安居工程建设。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val="en-US" w:eastAsia="zh-CN"/>
        </w:rPr>
        <w:t>积极争取资金0.53亿元，全力推进老旧小区提升改造和保障性安居工程建设。2020年，实施4000户棚改，改造26户农村困难群众危房。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八是着力维护社会和谐稳定。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val="en-US" w:eastAsia="zh-CN"/>
        </w:rPr>
        <w:t>安排资金0.12万元，纵深推进扫黑除恶专项斗争、防范打击电信网络诈骗和“黄毒”等专项行动，捣毁17个电信诈骗窝点，传统案件实现“四年四连降”。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color w:val="0D0D0D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3.勤勉履职战攻坚。</w:t>
      </w:r>
      <w:r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加大财政资金统筹力度，为打赢三大攻坚战提供坚强财政保障。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eastAsia="zh-CN"/>
        </w:rPr>
        <w:t>一是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支持决战决胜脱贫攻坚。</w:t>
      </w:r>
      <w:r>
        <w:rPr>
          <w:rFonts w:hint="eastAsia" w:ascii="楷体" w:hAnsi="楷体" w:eastAsia="楷体" w:cs="楷体"/>
          <w:kern w:val="0"/>
          <w:sz w:val="32"/>
          <w:szCs w:val="32"/>
          <w:lang w:val="en-US" w:eastAsia="zh-CN" w:bidi="ar-SA"/>
        </w:rPr>
        <w:t>统筹整合资金</w:t>
      </w:r>
      <w:r>
        <w:rPr>
          <w:rFonts w:hint="eastAsia" w:ascii="楷体" w:hAnsi="楷体" w:eastAsia="楷体" w:cs="楷体"/>
          <w:sz w:val="32"/>
          <w:szCs w:val="32"/>
        </w:rPr>
        <w:t>2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.</w:t>
      </w:r>
      <w:r>
        <w:rPr>
          <w:rFonts w:hint="eastAsia" w:ascii="楷体" w:hAnsi="楷体" w:eastAsia="楷体" w:cs="楷体"/>
          <w:sz w:val="32"/>
          <w:szCs w:val="32"/>
        </w:rPr>
        <w:t>52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亿</w:t>
      </w:r>
      <w:r>
        <w:rPr>
          <w:rFonts w:hint="eastAsia" w:ascii="楷体" w:hAnsi="楷体" w:eastAsia="楷体" w:cs="楷体"/>
          <w:sz w:val="32"/>
          <w:szCs w:val="32"/>
        </w:rPr>
        <w:t>元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，扎实推进脱贫攻坚巩固提升三年行动计划，</w:t>
      </w:r>
      <w:r>
        <w:rPr>
          <w:rFonts w:hint="eastAsia" w:ascii="楷体" w:hAnsi="楷体" w:eastAsia="楷体" w:cs="楷体"/>
          <w:kern w:val="0"/>
          <w:sz w:val="32"/>
          <w:szCs w:val="32"/>
          <w:lang w:val="en-US" w:eastAsia="zh-CN" w:bidi="ar-SA"/>
        </w:rPr>
        <w:t>行政村集体经营性收入全部突破10万元。扎实做好国家“扶贫832平台”采购工作，全市采购扶贫农产品742.4万元，超额完成上级采购考核任务，为2400户贫困户直接增加收入超过430万元。</w:t>
      </w:r>
      <w:r>
        <w:rPr>
          <w:rFonts w:hint="eastAsia" w:ascii="楷体" w:hAnsi="楷体" w:eastAsia="楷体" w:cs="楷体"/>
          <w:b/>
          <w:bCs/>
          <w:color w:val="0D0D0D"/>
          <w:sz w:val="32"/>
          <w:szCs w:val="32"/>
          <w:highlight w:val="none"/>
          <w:lang w:eastAsia="zh-CN"/>
        </w:rPr>
        <w:t>二是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支持打好蓝天碧水保卫战。</w:t>
      </w:r>
      <w:r>
        <w:rPr>
          <w:rFonts w:hint="eastAsia" w:ascii="楷体" w:hAnsi="楷体" w:eastAsia="楷体" w:cs="楷体"/>
          <w:kern w:val="0"/>
          <w:sz w:val="32"/>
          <w:szCs w:val="32"/>
          <w:highlight w:val="none"/>
          <w:lang w:bidi="ar"/>
        </w:rPr>
        <w:t>统筹</w:t>
      </w:r>
      <w:r>
        <w:rPr>
          <w:rFonts w:hint="eastAsia" w:ascii="楷体" w:hAnsi="楷体" w:eastAsia="楷体" w:cs="楷体"/>
          <w:kern w:val="0"/>
          <w:sz w:val="32"/>
          <w:szCs w:val="32"/>
          <w:highlight w:val="none"/>
          <w:lang w:eastAsia="zh-CN" w:bidi="ar"/>
        </w:rPr>
        <w:t>整合</w:t>
      </w:r>
      <w:r>
        <w:rPr>
          <w:rFonts w:hint="eastAsia" w:ascii="楷体" w:hAnsi="楷体" w:eastAsia="楷体" w:cs="楷体"/>
          <w:kern w:val="0"/>
          <w:sz w:val="32"/>
          <w:szCs w:val="32"/>
          <w:highlight w:val="none"/>
          <w:lang w:bidi="ar"/>
        </w:rPr>
        <w:t>资金</w:t>
      </w:r>
      <w:r>
        <w:rPr>
          <w:rFonts w:hint="eastAsia" w:ascii="楷体" w:hAnsi="楷体" w:eastAsia="楷体" w:cs="楷体"/>
          <w:color w:val="0D0D0D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楷体" w:hAnsi="楷体" w:eastAsia="楷体" w:cs="楷体"/>
          <w:color w:val="0D0D0D"/>
          <w:sz w:val="32"/>
          <w:szCs w:val="32"/>
          <w:highlight w:val="none"/>
        </w:rPr>
        <w:t>亿元</w:t>
      </w:r>
      <w:r>
        <w:rPr>
          <w:rFonts w:hint="eastAsia" w:ascii="楷体" w:hAnsi="楷体" w:eastAsia="楷体" w:cs="楷体"/>
          <w:kern w:val="0"/>
          <w:sz w:val="32"/>
          <w:szCs w:val="32"/>
          <w:highlight w:val="none"/>
          <w:lang w:bidi="ar"/>
        </w:rPr>
        <w:t>，</w:t>
      </w:r>
      <w:r>
        <w:rPr>
          <w:rFonts w:hint="eastAsia" w:ascii="楷体" w:hAnsi="楷体" w:eastAsia="楷体" w:cs="楷体"/>
          <w:color w:val="0D0D0D"/>
          <w:sz w:val="32"/>
          <w:szCs w:val="32"/>
          <w:highlight w:val="none"/>
          <w:lang w:eastAsia="zh-CN"/>
        </w:rPr>
        <w:t>深入推进“无废城市”建设试点、城乡环境综合治理、城市污水处理厂提标改造、低质低效林改造、农业面源污染治理和饮用水源地保护等。</w:t>
      </w:r>
      <w:r>
        <w:rPr>
          <w:rFonts w:hint="eastAsia" w:ascii="楷体" w:hAnsi="楷体" w:eastAsia="楷体" w:cs="楷体"/>
          <w:color w:val="0D0D0D"/>
          <w:sz w:val="32"/>
          <w:szCs w:val="32"/>
          <w:highlight w:val="none"/>
          <w:lang w:val="en-US" w:eastAsia="zh-CN"/>
        </w:rPr>
        <w:t>2020年，完成17处黑臭水体整治，建成14公里截污干管，</w:t>
      </w:r>
      <w:r>
        <w:rPr>
          <w:rFonts w:hint="eastAsia" w:ascii="楷体" w:hAnsi="楷体" w:eastAsia="楷体" w:cs="楷体"/>
          <w:color w:val="0D0D0D"/>
          <w:sz w:val="32"/>
          <w:szCs w:val="32"/>
          <w:highlight w:val="none"/>
          <w:lang w:eastAsia="zh-CN"/>
        </w:rPr>
        <w:t>完成</w:t>
      </w:r>
      <w:r>
        <w:rPr>
          <w:rFonts w:hint="eastAsia" w:ascii="楷体" w:hAnsi="楷体" w:eastAsia="楷体" w:cs="楷体"/>
          <w:color w:val="0D0D0D"/>
          <w:sz w:val="32"/>
          <w:szCs w:val="32"/>
          <w:highlight w:val="none"/>
          <w:lang w:val="en-US" w:eastAsia="zh-CN"/>
        </w:rPr>
        <w:t>8.33万亩</w:t>
      </w:r>
      <w:r>
        <w:rPr>
          <w:rFonts w:hint="eastAsia" w:ascii="楷体" w:hAnsi="楷体" w:eastAsia="楷体" w:cs="楷体"/>
          <w:color w:val="0D0D0D"/>
          <w:sz w:val="32"/>
          <w:szCs w:val="32"/>
          <w:highlight w:val="none"/>
          <w:lang w:eastAsia="zh-CN"/>
        </w:rPr>
        <w:t>低质低效林改造，实现城镇集中式饮用水水源地水质</w:t>
      </w:r>
      <w:r>
        <w:rPr>
          <w:rFonts w:hint="eastAsia" w:ascii="楷体" w:hAnsi="楷体" w:eastAsia="楷体" w:cs="楷体"/>
          <w:color w:val="0D0D0D"/>
          <w:sz w:val="32"/>
          <w:szCs w:val="32"/>
          <w:highlight w:val="none"/>
          <w:lang w:val="en-US" w:eastAsia="zh-CN"/>
        </w:rPr>
        <w:t>全面达标</w:t>
      </w:r>
      <w:r>
        <w:rPr>
          <w:rFonts w:hint="eastAsia" w:ascii="楷体" w:hAnsi="楷体" w:eastAsia="楷体" w:cs="楷体"/>
          <w:color w:val="0D0D0D"/>
          <w:sz w:val="32"/>
          <w:szCs w:val="32"/>
          <w:highlight w:val="none"/>
        </w:rPr>
        <w:t>。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三是全力防范政府债务风险。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加强政府债务管理，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严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格落实化债计划，通过安排预算资金、盘活存量资产、积极争取再融资债券等多渠道化解存量债务。2020年，全市超额完成存量债务化解目标任务，综合债务率比2019年下降58.85个百分点，债务风险由黄色区域转为绿色区域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4.深化改革提效益。</w:t>
      </w: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着力完善体制机制，加快建立现代财政制度。</w:t>
      </w:r>
      <w:r>
        <w:rPr>
          <w:rFonts w:hint="eastAsia" w:ascii="楷体" w:hAnsi="楷体" w:eastAsia="楷体" w:cs="楷体"/>
          <w:b/>
          <w:bCs/>
          <w:sz w:val="32"/>
          <w:szCs w:val="32"/>
          <w:u w:val="none"/>
          <w:lang w:val="en-US" w:eastAsia="zh-CN"/>
        </w:rPr>
        <w:t>一是创新绩效评价管理。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u w:val="none"/>
          <w:lang w:val="en-US" w:eastAsia="zh-CN"/>
        </w:rPr>
        <w:t>开展财政重点绩效评价，委托第三方机构对全市20个预算部门及相关项目资金开展财政重点绩效评价（监控）工作，绩效评价资金规模达3.35亿元。</w:t>
      </w:r>
      <w:r>
        <w:rPr>
          <w:rFonts w:hint="eastAsia" w:ascii="楷体" w:hAnsi="楷体" w:eastAsia="楷体" w:cs="楷体"/>
          <w:b/>
          <w:bCs/>
          <w:sz w:val="32"/>
          <w:szCs w:val="32"/>
          <w:u w:val="none"/>
          <w:lang w:val="en-US" w:eastAsia="zh-CN"/>
        </w:rPr>
        <w:t>二是深化国有企业改革。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完成市房产经营公司转并市城投集团公司的工作，实现了“2020年前融资平台公司整合至2家以内”目标。同时，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u w:val="none"/>
          <w:lang w:val="en-US" w:eastAsia="zh-CN"/>
        </w:rPr>
        <w:t>将广告经营权从市城投集团公司划转至市文旅公司，进一步增强企业自身造血功能，提升企业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市场竞争力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u w:val="none"/>
          <w:lang w:val="en-US" w:eastAsia="zh-CN"/>
        </w:rPr>
        <w:t>。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u w:val="none"/>
          <w:lang w:val="en-US" w:eastAsia="zh-CN"/>
        </w:rPr>
        <w:t>三是推进账户资金运行管理改革。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u w:val="none"/>
          <w:lang w:val="en-US" w:eastAsia="zh-CN"/>
        </w:rPr>
        <w:t>结合机构改革，严格审核预算单位银行账户的开立、变更、撤销事项，通过“账户资金运行管理系统”审批撤销银行账户79个、开立账户113个、变更账户5个。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u w:val="none"/>
          <w:lang w:val="en-US" w:eastAsia="zh-CN"/>
        </w:rPr>
        <w:t>四是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深化财政国库管理制度改革。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从2020年1月1日正式上线了全省一体化国库集中支付系统，实现了国库集中支付业务“电子化”，财政资金运行管理更加安全、高效。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u w:val="none"/>
          <w:lang w:val="en-US" w:eastAsia="zh-CN"/>
        </w:rPr>
        <w:t>五是推进采购监管模式改革。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率先在赣州市试点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实施采购项目绩效评价工作，通过建立健全定量和定性相结合、基础管理与分类管理相结合的绩效指标体系，探索出从过程管理延伸到结果导向的监管新路子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。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2020年，共办理政府采购备案手续7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22项，协议采购备案金额1896.86万元，审核办理政府采购备案项目310个，采购限额（计划）18.75亿元，采购节支率5.8%。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5.强化纪律严监管。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持之以恒推进全面从严治党，涵养风清气正财政政治生态。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楷体" w:hAnsi="楷体" w:eastAsia="楷体" w:cs="楷体"/>
          <w:b/>
          <w:bCs w:val="0"/>
          <w:kern w:val="30"/>
          <w:sz w:val="32"/>
          <w:szCs w:val="32"/>
          <w:highlight w:val="none"/>
          <w:lang w:val="en-US" w:eastAsia="zh-CN"/>
        </w:rPr>
        <w:t>加大政府投资项目管理。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坚持“不唯增，不唯减，只唯实”的工作原则，不断提高评审质量和效率。</w:t>
      </w:r>
      <w:r>
        <w:rPr>
          <w:rFonts w:hint="eastAsia" w:ascii="楷体" w:hAnsi="楷体" w:eastAsia="楷体" w:cs="楷体"/>
          <w:bCs/>
          <w:kern w:val="30"/>
          <w:sz w:val="32"/>
          <w:szCs w:val="32"/>
          <w:highlight w:val="none"/>
          <w:lang w:val="en-US" w:eastAsia="zh-CN"/>
        </w:rPr>
        <w:t>2020年，累计完成评审项目162个，受理评审金额6.96亿元，审定金额6.25亿元，审减金额0.71亿元，审减率达10.2%。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楷体" w:hAnsi="楷体" w:eastAsia="楷体" w:cs="楷体"/>
          <w:b/>
          <w:bCs w:val="0"/>
          <w:kern w:val="30"/>
          <w:sz w:val="32"/>
          <w:szCs w:val="32"/>
          <w:highlight w:val="none"/>
          <w:lang w:val="en-US" w:eastAsia="zh-CN"/>
        </w:rPr>
        <w:t>推行公务消费网络监管平台管理。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严格执行中央八项规定精神，厉行节约，反对浪费，创新“三公”经费监管方式，全市纳入公务消费网络监管平台单位223个、公务卡984张、公务车辆510辆、单位职工食堂99家、注册商户159户。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三是</w:t>
      </w:r>
      <w:r>
        <w:rPr>
          <w:rFonts w:hint="eastAsia" w:ascii="楷体" w:hAnsi="楷体" w:eastAsia="楷体" w:cs="楷体"/>
          <w:b/>
          <w:bCs w:val="0"/>
          <w:kern w:val="30"/>
          <w:sz w:val="32"/>
          <w:szCs w:val="32"/>
          <w:highlight w:val="none"/>
          <w:lang w:val="en-US" w:eastAsia="zh-CN"/>
        </w:rPr>
        <w:t>全面落实强农惠农政策。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  <w:t>全年通过“一卡通”累计发放低保、特困供养人员等25大项60小项惠民惠农补贴资金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4.67亿元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达到当年发放任务数的99.93%，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  <w:t>强农惠农政策全面落实到位。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四是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开展财政监督检查工作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积极组织会计评估监督检查、财经纪律执行情况专项检查，对全市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26个市直单位和4个乡镇进行了重点抽查，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纠正违规资金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0.07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亿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元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highlight w:val="none"/>
          <w:lang w:eastAsia="zh-CN"/>
        </w:rPr>
        <w:t>五是倾力盘活财政存量资金。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牵头制定过紧日子22条硬措施，大力压减一般性支出；建立单位实有账户资金清理长效机制，盘活存量资金4.57亿元，统筹用于办民生实事、补发展短板。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（四）“十三五”期间财政工作情况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回眸“十三五”，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  <w:t>在市委、市政府的正确领导下，在全市各级干部和广大人民群众齐心协力下，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我们围绕中心、服务大局、依法履职、主动作为，切实维护全市经济平稳运行和社会大局稳定。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一是财政综合实力不断增强。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全面落实各项惠企财税政策，从降低企业成本、优化营商环境等方面带动企业增效和产业发展，着力在支柱产业、实体经济、园区建设上下功夫，努力培育财源增长点。全市财政总收入从2015年的15.9亿元增加到2020年的25.13亿元，年均增速达9.6%。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二是民生保障能力持续提升。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在财政收支平衡压力较大的情况下，不断调整和优化支出结构，严格控制一般性支出，“三公”经费持续压减，教育、社会保障和就业、城乡社区、医疗卫生和计划生育、住房保障、节能环保、文化体育等13项与民生相关的重点支出从2015年的31.63亿元增加到2020年的55.32亿元，年均增速达11.8%，民生支出占一般公共预算支出比重超过八成。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三是三大攻坚战役成效显著。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积极发挥财政职能作用，集中力量打好重点战役。坚持底线思维，优化债务结构，有效防范化解债务风险，政府综合债务风险由黄色区域转为绿色区域。坚持精准脱贫理念，充分发挥财政投入在扶贫工作中的重要作用，力促扶贫保障政策全面落实，脱贫攻坚“十大清零”任务全面完成。坚持绿色发展，打好污染防治攻坚战，进一步理顺经费来源，规范资金用途，推动污染防治在重点领域攻坚突破。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四是财政管理改革不断推进。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深入推进财政管理改革，预算管理更科学精细、预算公开更阳光透明、预算执行更约束有力，预算绩效管理全面覆盖；国库集中支付全面推行，电子一体化改革全面完成；国有资产管理更规范，国有资产制度更完善，国有资产信息化管理更合理，建立健全国有资产向人大常委会报告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各位代表，在肯定成绩的同时，我们也清醒的认识到，当前财政仍然面临一些突出困难和重大挑战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：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一是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财源建设步伐仍需加速。</w:t>
      </w:r>
      <w:r>
        <w:rPr>
          <w:rFonts w:hint="eastAsia" w:ascii="楷体" w:hAnsi="楷体" w:eastAsia="楷体" w:cs="楷体"/>
          <w:sz w:val="32"/>
          <w:szCs w:val="32"/>
        </w:rPr>
        <w:t>受经济发展新常态、大规模减税降费政策和新冠疫情等因素影响，财政收入增速趋缓，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新增税源渠道不多</w:t>
      </w:r>
      <w:r>
        <w:rPr>
          <w:rFonts w:hint="eastAsia" w:ascii="楷体" w:hAnsi="楷体" w:eastAsia="楷体" w:cs="楷体"/>
          <w:sz w:val="32"/>
          <w:szCs w:val="32"/>
        </w:rPr>
        <w:t>，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财源基础薄弱现象仍未改变。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二是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收支平衡难度日益加大。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随着保工资、保运转、保基本民生等刚性需求不断增加，</w:t>
      </w:r>
      <w:r>
        <w:rPr>
          <w:rFonts w:hint="eastAsia" w:ascii="楷体" w:hAnsi="楷体" w:eastAsia="楷体" w:cs="楷体"/>
          <w:sz w:val="32"/>
          <w:szCs w:val="32"/>
        </w:rPr>
        <w:t>“六稳”“六保”、重点项目等政策性配套支出快速增长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，债务还本付息增加，财政收支矛盾日益突出</w:t>
      </w:r>
      <w:r>
        <w:rPr>
          <w:rFonts w:hint="eastAsia" w:ascii="楷体" w:hAnsi="楷体" w:eastAsia="楷体" w:cs="楷体"/>
          <w:sz w:val="32"/>
          <w:szCs w:val="32"/>
        </w:rPr>
        <w:t>。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三是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财政资金效率仍待提高。</w:t>
      </w:r>
      <w:r>
        <w:rPr>
          <w:rFonts w:hint="eastAsia" w:ascii="楷体" w:hAnsi="楷体" w:eastAsia="楷体" w:cs="楷体"/>
          <w:sz w:val="32"/>
          <w:szCs w:val="32"/>
        </w:rPr>
        <w:t>部分预算单位绩效意识和主体责任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意识还比较薄弱</w:t>
      </w:r>
      <w:r>
        <w:rPr>
          <w:rFonts w:hint="eastAsia" w:ascii="楷体" w:hAnsi="楷体" w:eastAsia="楷体" w:cs="楷体"/>
          <w:sz w:val="32"/>
          <w:szCs w:val="32"/>
        </w:rPr>
        <w:t>，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财政资金使用效率不高等问题仍然存在</w:t>
      </w:r>
      <w:r>
        <w:rPr>
          <w:rFonts w:hint="eastAsia" w:ascii="楷体" w:hAnsi="楷体" w:eastAsia="楷体" w:cs="楷体"/>
          <w:sz w:val="32"/>
          <w:szCs w:val="32"/>
        </w:rPr>
        <w:t>。对此，我们高度重视，将通过深化改革、完善制度、严格管理等一系列措施，努力加以解决。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二、202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年全市和市本级预算草案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202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年财政预算编制坚持“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实事求是、科学预测，以收定支、突出重点，尽力而为、量力而行，均衡财力、兜牢底线，注重绩效、打破固化</w:t>
      </w: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”的原则，扎实做好“六稳”工作，全面落实“六保”任务。推进零基预算管理改革，打破预算支出固化格局；落实政府带头过紧日子要求，严把财政支出关口，压减一般性支出，严控“三公”经费；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t>加大财政资金统筹力度，有效盘活存量资金，调整优化支出结构，突出保障重点；全面实施预算绩效管理，推进预算和绩效管理一体化，强化绩效评价结果应用，不断完善标准科学、规范透明、约束有力的预算管理制度。</w:t>
      </w:r>
      <w:r>
        <w:rPr>
          <w:rFonts w:hint="eastAsia" w:ascii="楷体" w:hAnsi="楷体" w:eastAsia="楷体" w:cs="楷体"/>
          <w:color w:val="000000"/>
          <w:kern w:val="0"/>
          <w:sz w:val="31"/>
          <w:szCs w:val="31"/>
          <w:lang w:val="en-US" w:eastAsia="zh-CN" w:bidi="ar"/>
        </w:rPr>
        <w:t>根据省委十四届十三次全体会议、赣州市委五届十次全会及市委六届九次全会精神，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按照全市国民经济和社会发展初步计划，202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年全市和市本级预算草案如下：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sz w:val="32"/>
          <w:szCs w:val="32"/>
          <w:highlight w:val="none"/>
        </w:rPr>
        <w:t>（一）202</w:t>
      </w:r>
      <w:r>
        <w:rPr>
          <w:rFonts w:hint="eastAsia" w:ascii="楷体" w:hAnsi="楷体" w:eastAsia="楷体" w:cs="楷体"/>
          <w:b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楷体" w:hAnsi="楷体" w:eastAsia="楷体" w:cs="楷体"/>
          <w:b/>
          <w:sz w:val="32"/>
          <w:szCs w:val="32"/>
          <w:highlight w:val="none"/>
        </w:rPr>
        <w:t>年全市预算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color w:val="000000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color w:val="000000"/>
          <w:sz w:val="32"/>
          <w:szCs w:val="32"/>
          <w:highlight w:val="none"/>
        </w:rPr>
        <w:t>1.一般公共预算收支安排情况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全市财政总收入安排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267620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  <w:t>比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上年实际执行数增长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6.5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%，其中：税收收入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242620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万元，非税收入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25000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万元；一般公共预算收入安排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153380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  <w:t>同可径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比上年实际执行数增长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5.5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%，其中：税收收入安排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128380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  <w:t>，非税收入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25000万元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。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  <w:t>考虑到省与市县收入划分改革因素，一般公共预算收入同比下降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6.9%。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全市一般公共预算收入加上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  <w:t>预计上级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返还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  <w:t>性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收入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提前下达的各项补助收入251172万元，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减去上解支出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7312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万元，预算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  <w:t>财力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397240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万元。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  <w:t>全市一般公共预算支出安排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397240万元，比2020年预算数增长30.1%，预算收支平衡。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color w:val="000000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color w:val="000000"/>
          <w:sz w:val="32"/>
          <w:szCs w:val="32"/>
          <w:highlight w:val="none"/>
        </w:rPr>
        <w:t>2.政府性基金预算收支安排情况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全市政府性基金收入安排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283500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  <w:t>比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2020年预算数增加41.8%，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其中：国有土地收益基金收入1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5000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万元，农业土地开发资金收入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750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万元，国有土地使用权出让收入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266800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万元，城市基础设施配套费收入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950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政府性基金预算收入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283500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万元，加上年结余收入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2551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万元，加上提前告知补助收入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1299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万元，减去上解支出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5650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  <w:t>，政府性基金预算财力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281700万元。政府性基金预算支出281700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  <w:t>比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2020年预算数增长39%，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预算收支平衡。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color w:val="000000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color w:val="000000"/>
          <w:sz w:val="32"/>
          <w:szCs w:val="32"/>
          <w:highlight w:val="none"/>
        </w:rPr>
        <w:t>3.社会保险基金预算收支安排情况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全市社会保险基金收入安排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45869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  <w:t>比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2020年预算数增长7.4%，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其中：保费收入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25574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万元、财政补助收入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18969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万元、利息收入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756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万元、转移收入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171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  <w:t>，其他收入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399万元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  <w:t>；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全市社会保险基金预算支出安排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39698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  <w:t>，比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2020年预算数增长12.5%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  <w:t>；当年收支结余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6171万元，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年终滚存结余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47099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color w:val="000000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color w:val="000000"/>
          <w:sz w:val="32"/>
          <w:szCs w:val="32"/>
          <w:highlight w:val="none"/>
        </w:rPr>
        <w:t>4.国有资本经营预算收支安排情况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全市国有资本经营收入安排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2385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  <w:t>比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2020年预算数增长40.5%，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  <w:t>加上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上年结转收入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75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  <w:t>，收入总量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2460万元。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国有资本经营预算支出安排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2460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  <w:t>比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2020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  <w:t>年预算数增长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40.7%，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预算收支平衡。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sz w:val="32"/>
          <w:szCs w:val="32"/>
          <w:highlight w:val="none"/>
        </w:rPr>
        <w:t>（二）202</w:t>
      </w:r>
      <w:r>
        <w:rPr>
          <w:rFonts w:hint="eastAsia" w:ascii="楷体" w:hAnsi="楷体" w:eastAsia="楷体" w:cs="楷体"/>
          <w:b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楷体" w:hAnsi="楷体" w:eastAsia="楷体" w:cs="楷体"/>
          <w:b/>
          <w:sz w:val="32"/>
          <w:szCs w:val="32"/>
          <w:highlight w:val="none"/>
        </w:rPr>
        <w:t>年市本级预算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color w:val="000000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color w:val="000000"/>
          <w:sz w:val="32"/>
          <w:szCs w:val="32"/>
          <w:highlight w:val="none"/>
        </w:rPr>
        <w:t>1.一般公共预算收支安排情况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  <w:t>市本级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财政总收入安排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267620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万元，比上年实际执行数增长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6.5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%，其中：税收收入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242620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万元，非税收入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25000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万元；一般公共预算收入安排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153380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  <w:t>同口径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比上年实际执行数增长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5.5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%，其中：税收收入安排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128380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  <w:t>，非税收入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25000万元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。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  <w:t>考虑到省与市县收入划分改革因素，一般公共预算收入同比下降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6.9%。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  <w:t>市本级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一般公共预算收入加上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  <w:t>预计上级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返还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  <w:t>性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收入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  <w:t>、提前告知各项补助收入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251172万元，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减去上解支出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7312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highlight w:val="none"/>
        </w:rPr>
        <w:t>补助乡镇支出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highlight w:val="none"/>
          <w:lang w:val="en-US" w:eastAsia="zh-CN"/>
        </w:rPr>
        <w:t>18103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highlight w:val="none"/>
        </w:rPr>
        <w:t>万元，市本级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highlight w:val="none"/>
          <w:lang w:eastAsia="zh-CN"/>
        </w:rPr>
        <w:t>预算财力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highlight w:val="none"/>
          <w:lang w:val="en-US" w:eastAsia="zh-CN"/>
        </w:rPr>
        <w:t>379137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highlight w:val="none"/>
        </w:rPr>
        <w:t>万元。市本级一般公共预算支出安排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highlight w:val="none"/>
          <w:lang w:val="en-US" w:eastAsia="zh-CN"/>
        </w:rPr>
        <w:t>379137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highlight w:val="none"/>
        </w:rPr>
        <w:t>万元，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highlight w:val="none"/>
          <w:lang w:eastAsia="zh-CN"/>
        </w:rPr>
        <w:t>比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highlight w:val="none"/>
          <w:lang w:val="en-US" w:eastAsia="zh-CN"/>
        </w:rPr>
        <w:t>2020年预算数增长31.2%，预算收支平衡。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color w:val="000000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color w:val="000000"/>
          <w:sz w:val="32"/>
          <w:szCs w:val="32"/>
          <w:highlight w:val="none"/>
        </w:rPr>
        <w:t>2.市本级政府性基金预算、市本级社保基金预算</w:t>
      </w:r>
      <w:r>
        <w:rPr>
          <w:rFonts w:hint="eastAsia" w:ascii="楷体" w:hAnsi="楷体" w:eastAsia="楷体" w:cs="楷体"/>
          <w:b/>
          <w:color w:val="000000"/>
          <w:sz w:val="32"/>
          <w:szCs w:val="32"/>
          <w:highlight w:val="none"/>
          <w:lang w:eastAsia="zh-CN"/>
        </w:rPr>
        <w:t>和</w:t>
      </w:r>
      <w:r>
        <w:rPr>
          <w:rFonts w:hint="eastAsia" w:ascii="楷体" w:hAnsi="楷体" w:eastAsia="楷体" w:cs="楷体"/>
          <w:b/>
          <w:color w:val="000000"/>
          <w:sz w:val="32"/>
          <w:szCs w:val="32"/>
          <w:highlight w:val="none"/>
        </w:rPr>
        <w:t>市本级国有资本经营预算与全市的情况一致，在此不作重复报告。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各位代表，根据《预算法》规定，202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年预备费安排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3998.59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万元，受财力所限，预算稳定调节基金未作预算安排，需本级财政投入的建设类及其他资金，也无法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  <w:t>足额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列入预算盘子。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需要说明的事项是：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根据《关于印发调整省与市县收入划分改革推进方案的通知》（赣府字〔2020〕91号）文件精神，从2020年1月1日起，增值税、所得税、环境保护税市县分成比例由45%、32%、80%下调至35%、28%、70%。省级因分享比例调整新集中的财力，以2019年为基期年核定税收固定返还基数，通过结算补助返还市县，并逐步退坡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t>（即，对超过2019年基数部分，2020年省返还100%、2021年省返还 50%、2022年起不再返还）。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</w:rPr>
        <w:t>三、202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</w:rPr>
        <w:t>年全市财政一般公共预算和政府性基金预算专项资金主要安排情况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202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年全市一般公共预算安排专项资金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100419.55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 xml:space="preserve">万元，加上政府性基金预算安排专项资金 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211989.89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 xml:space="preserve">万元，合计安排 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312409.44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万元，主要项目安排如下。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（一）教育专项1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5168.19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万元。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安排生均公用经费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8423.53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万元，教育保障专项配套资金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3952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万元，教育费附加2192.66万元，城市维护建设税10%用于教育部门经费600万元。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（二）农业专项5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170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万元。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安排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  <w:t>巩固脱贫攻坚及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乡村振兴发展专项资金5000万元（柑橘黄龙病防控专项资金500万元，果业产业发展资金200万元，松材线虫病专项防治资金和应急处置资金400万元，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  <w:t>衔接推进乡村振兴补助资金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2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650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万元等），农产品质量安全专项工作经费50万元，高标准农田建设工作经费30万元，脐橙节与主攻城市专项经费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0万元，紧急疫情处理费30万元。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（三）医疗卫生专项1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2050.86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万元。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安排城乡居民</w:t>
      </w: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医疗保险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配套资金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6297.2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  <w:t>城镇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职工医疗保险配套资金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2765.72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万元，公立医院改革专项补助经费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550万元，公共卫生应急防控专项经费650万元，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城乡医疗救助配套资金160万元，基本药物配套资金191万元，公共卫生均等化资金152.86万元，道路交通救助（爱心救助）基金100万元，儿科、乡村医生补助资金193万元，计生专项项目经费693万元，婚前医学检查项目经费1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36.4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万元，卫生检测和预防性体检100万元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  <w:t>，新生儿疾病筛查经费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15.6万元，免费孕前优生健康检查经费46.08万元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（四）社保专项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22155.63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万元。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安排其他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  <w:t>财政补助人员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社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  <w:t>会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保障缴费和政府购买服务资金2600万元，小额贷款担保基金132万元，小额担保贷款贴息财政配套资金120万元，义务兵优待金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869.93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万元，退役士兵安置费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483.09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万元，孤儿基本生活保障配套资金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280.8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万元，老人长寿生活补贴资金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1761.84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万元，老年人意外伤害保险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14.18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万元，城乡居民亡故遗体免费火化资金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819.4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万元，残疾人康复配套、生活和护理补贴资金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1061.81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万元，地方救灾配套资金4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37.1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万元，城乡低保配套资金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4204.2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万元，临时救助资金71万元，特困供养配套资金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1334.8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万元，农村离任两老补助资金12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19.16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  <w:t>城乡居民基本养老保险市级配套资金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1729.43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万元，精简退职配套资金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89.57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万元,未参保大集体企业退休人员养老生活补助资金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200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万元，敬老院日常运行费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757.32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万元，乡镇卫生院基础设施建设及设备购置补助资金180万元，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  <w:t>补充机关事业养老保险基金收支缺口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3390万元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，走访慰问专项资金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400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color w:val="000000"/>
          <w:kern w:val="0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（五）科技及文化发展专项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959.43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万元。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安排科技三项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  <w:t>经费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210.8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万元，文化发展专项资金500万元，全民读书活动购书补助经费100万元，科普经费70万元，广播电视卫星直播户户通配套及老放映员生活补助资金43.6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万元，扫黄打非专项资金15万元，村村通广播电视经费20万元。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（六）政法等专项3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500.49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万元。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安排消防专项经费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1151.76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万元，公安专项经费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1943.05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万元，政法维稳等专项经费241.08万元，人民陪审员专项经费30万元，人民武装工作专项经费1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34.6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（七）工业商业交通类专项1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6380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万元。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安排工业发展专项引导资金10000万元，安排旅游发展专项资金3000万元，招商引资专项经费1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0万元，地方储备粮利息费用补贴经费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732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万元，化肥淡季储备贴息10万元,公交车政策性亏损补贴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204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万元，公交车优惠对象免费乘公交车补助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204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万元，经开区运行经费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00万元，成品油价格和税费改革工作经费120万元，“六大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  <w:t>会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战”专项工作经费110万元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  <w:t>，大健康产业发展专项资金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200万元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（八）城市维护建设专项10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991.98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万元。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安排城区环境卫生保洁服务一体化专项经费（及绿化养护一体化经费）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7941.98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规划编制专项经费1000万元，路灯电费和维护费及零星修护费800万元，治违拆违专项经费400万元，环境综合治理专项资金400万元，市政设施日常维护维修及市容整治工作经费250万元，两城同创专项经费200万元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（九）行政及其他专项经费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7340.7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万元。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安排北上争资争项工作经费1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00万元，引进人才专项经费100万元，会议及表彰经费1000万元，“金财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工程”国库集中支付大平台运行维护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经费200万元，信访救助专项资金200万元，协税护税经费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515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万元，重大项目开发费300万元，市场监督管理专项经费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400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万元，基本建设投资评审经费1000万元，行政审批专项经费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875.7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万元，《不忘初心-人民共和国从这里走来》系列丛书编撰出版经费150万元，重大接待经费600万元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  <w:t>，干部培训经费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300万元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（十）债务还本付息专项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218692.16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万元。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安排政府性债务还本付息资金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2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18692.16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万元。其中：一般公共预算安排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6702.35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万元，政府性基金安排2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11989.81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四、市</w:t>
      </w: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商务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部门202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年部门预算草案重点审核情况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按照市人大常委会的要求，对市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  <w:t>商务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部门202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年部门预算草案进行重点审核。部门收支预算总体安排情况是：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highlight w:val="none"/>
        </w:rPr>
        <w:t>1.收入预算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highlight w:val="none"/>
          <w:lang w:val="en-US" w:eastAsia="zh-CN"/>
        </w:rPr>
        <w:t>782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highlight w:val="none"/>
        </w:rPr>
        <w:t>万元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其中：财政拨款收入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542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万元，上年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  <w:t>结余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结转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240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highlight w:val="none"/>
        </w:rPr>
        <w:t>2.支出预算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highlight w:val="none"/>
          <w:lang w:val="en-US" w:eastAsia="zh-CN"/>
        </w:rPr>
        <w:t>782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highlight w:val="none"/>
        </w:rPr>
        <w:t>万元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其中：基本支出632万元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项目支出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150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万元。按支出功能科目划分：一般公共服务支出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694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万元，社会保障和就业支出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42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万元，卫生健康支出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18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万元，住房保障支出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28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万元。按支出经济科目划分：工资福利支出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344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万元，商品和服务支出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437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万元，对个人和家庭的补助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96" w:firstLineChars="200"/>
        <w:jc w:val="both"/>
        <w:textAlignment w:val="auto"/>
        <w:rPr>
          <w:rFonts w:hint="eastAsia" w:ascii="黑体" w:hAnsi="黑体" w:eastAsia="黑体" w:cs="黑体"/>
          <w:color w:val="000000"/>
          <w:spacing w:val="-11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000000"/>
          <w:spacing w:val="-11"/>
          <w:kern w:val="0"/>
          <w:sz w:val="32"/>
          <w:szCs w:val="32"/>
          <w:highlight w:val="none"/>
        </w:rPr>
        <w:t>五、坚定信心，攻坚克难，全面完成202</w:t>
      </w:r>
      <w:r>
        <w:rPr>
          <w:rFonts w:hint="eastAsia" w:ascii="黑体" w:hAnsi="黑体" w:eastAsia="黑体" w:cs="黑体"/>
          <w:color w:val="000000"/>
          <w:spacing w:val="-11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黑体" w:hAnsi="黑体" w:eastAsia="黑体" w:cs="黑体"/>
          <w:color w:val="000000"/>
          <w:spacing w:val="-11"/>
          <w:kern w:val="0"/>
          <w:sz w:val="32"/>
          <w:szCs w:val="32"/>
          <w:highlight w:val="none"/>
        </w:rPr>
        <w:t>年财政预算任务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202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年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  <w:t>，是十四五规划的开局之年，也是全面建设社会主义现代化新征程的开启之年，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市财政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  <w:t>部门将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highlight w:val="none"/>
          <w:lang w:eastAsia="zh-CN"/>
        </w:rPr>
        <w:t>坚持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highlight w:val="none"/>
        </w:rPr>
        <w:t>以习近平新时代中国特色社会主义思想为指导，全面贯彻党的十九大和十九届二中、三中、四中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highlight w:val="none"/>
          <w:lang w:eastAsia="zh-CN"/>
        </w:rPr>
        <w:t>、五中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highlight w:val="none"/>
        </w:rPr>
        <w:t>全会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highlight w:val="none"/>
          <w:lang w:eastAsia="zh-CN"/>
        </w:rPr>
        <w:t>以及中央、省委经济工作会议、赣州市委五届十次全会、市委六届九次全委会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highlight w:val="none"/>
        </w:rPr>
        <w:t>精神，深入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highlight w:val="none"/>
          <w:lang w:eastAsia="zh-CN"/>
        </w:rPr>
        <w:t>落实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highlight w:val="none"/>
        </w:rPr>
        <w:t>习近平总书记视察江西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highlight w:val="none"/>
          <w:lang w:eastAsia="zh-CN"/>
        </w:rPr>
        <w:t>和赣州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highlight w:val="none"/>
        </w:rPr>
        <w:t>重要讲话精神，聚焦“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highlight w:val="none"/>
          <w:lang w:eastAsia="zh-CN"/>
        </w:rPr>
        <w:t>两个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highlight w:val="none"/>
        </w:rPr>
        <w:t>定位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highlight w:val="none"/>
        </w:rPr>
        <w:t>五个推进”的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highlight w:val="none"/>
          <w:lang w:eastAsia="zh-CN"/>
        </w:rPr>
        <w:t>重要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highlight w:val="none"/>
        </w:rPr>
        <w:t>要求，坚持稳中求进工作总基调，立足新发展阶段，贯彻新发展理念，构建新发展格局，以推动高质量发展为主题，以深化供给侧结构性改革为主线，以改革创新为根本动力，以满足人民日益增长的美好生活需要为根本目的，扎实做好“六稳”工作、全面落实“六保”任务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highlight w:val="none"/>
          <w:lang w:eastAsia="zh-CN"/>
        </w:rPr>
        <w:t>，突出保障“六大主攻方向”，积极的财政政策提质增效、更可持续，不断优化支出结构，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highlight w:val="none"/>
        </w:rPr>
        <w:t>全面落实党政机关过紧日子的要求，强化预算约束和绩效管理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highlight w:val="none"/>
          <w:lang w:eastAsia="zh-CN"/>
        </w:rPr>
        <w:t>；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highlight w:val="none"/>
        </w:rPr>
        <w:t>加快建立现代财税体制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highlight w:val="none"/>
          <w:lang w:eastAsia="zh-CN"/>
        </w:rPr>
        <w:t>，加强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highlight w:val="none"/>
        </w:rPr>
        <w:t>政府债务管理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highlight w:val="none"/>
          <w:lang w:eastAsia="zh-CN"/>
        </w:rPr>
        <w:t>，抓好政府隐性债务化解工作；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highlight w:val="none"/>
        </w:rPr>
        <w:t>加强财政资源统筹，保持适度支出强度，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highlight w:val="none"/>
          <w:lang w:val="en-US" w:eastAsia="zh-CN"/>
        </w:rPr>
        <w:t>为“十四五”开好局、起好步提供坚实财政支撑，以优异成绩庆祝建党100周年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highlight w:val="none"/>
        </w:rPr>
        <w:t>。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围绕以上总体要求，202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年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  <w:t>重点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抓好以下几方面工作。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1.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eastAsia="zh-CN"/>
        </w:rPr>
        <w:t>强化政策引领，兴优势产业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。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  <w:t>突出政策精准有效性，不断释放经济增长潜力。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一是支持工业倍增升级。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充分发挥财政资金扶持引导作用，做优做强优势产业、特色产业，努力构建大健康食品产业集群；积极对接融入粤港澳大湾区，全力引进旗舰型企业和重大项目，进一步强链补链。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highlight w:val="none"/>
          <w:lang w:val="en-US" w:eastAsia="zh-CN"/>
        </w:rPr>
        <w:t>二是支持脱贫攻坚与乡村振兴有效衔接。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建立乡村振兴财政投入稳定增长机制，逐步提高土地出让收入用于农业农村比例，促进三产融合。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三是支持打造旅游特色产业。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大力支持旅游项目整合、培育旅游消费新热点、发展旅游新业态等，努力打造全国知名红色教育特色品牌基地。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四是持续北上争资争项。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紧跟中央财税改革政策，积极做好项目申报工作，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争取更多上级新增地方政府专项债券和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专项转移支付补助资金，支持重点项目建设，着力扩大有效投资。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五是大力优化营商环境。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全面落实系列减税降费政策，加大各类违规涉企收费整治力度，持续推动企业降费增效。深化“放管服”改革，进一步完善体制机制，切实增强服务意识，全力稳住实体经济。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sz w:val="32"/>
          <w:szCs w:val="32"/>
          <w:highlight w:val="yellow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2.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eastAsia="zh-CN"/>
        </w:rPr>
        <w:t>强化资金保障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，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eastAsia="zh-CN"/>
        </w:rPr>
        <w:t>守民生底线。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持续加大民生投入，把财政投入与人民群众日益增长的美好生活需求有机结合起来。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一是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持续优化支出结构。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积极推行零基预算，打破支出预算“基数+增长”的固化思维，大力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压缩一般性支出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及“三公”经费等，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集中财力</w:t>
      </w: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守住民生底线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。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eastAsia="zh-CN"/>
        </w:rPr>
        <w:t>二是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健全社会保障体系。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实施优先的就业政策</w:t>
      </w: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和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全民参保计划，支持完善养老、医疗、失业保险和低保制度</w:t>
      </w: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，大力推进乡镇敬老院改扩建、失智失能护理院项目建设，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加快建设居家社区机构相协调、医养康养相结合的养老服务体系。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eastAsia="zh-CN"/>
        </w:rPr>
        <w:t>三是完善防控救治体制机制。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支持公共卫生和医疗服务体系建设</w:t>
      </w: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，推动全民健康信息平台及健康医疗大数据中心建设，实现医疗机构信息共享，提升基层医疗服务水平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。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eastAsia="zh-CN"/>
        </w:rPr>
        <w:t>四是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促进教科文事业发展。</w:t>
      </w: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着力构建高质量教育体系，大力推动学生德智体美劳全面发展，加快构建区域性教育中心，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促进教育优质均衡发展。</w:t>
      </w: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大力实施文化惠民工程，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支持新时代文明实践中心试点建设</w:t>
      </w: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。加强社会治安防控体系建设，推进扫黑除恶长效常治，筑牢治安防控体系。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eastAsia="zh-CN"/>
        </w:rPr>
        <w:t>五是支持生态文明建设。</w:t>
      </w: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继续统筹整合好重点生态功能区和全域流域生态补偿资金，</w:t>
      </w:r>
      <w:r>
        <w:rPr>
          <w:rFonts w:hint="eastAsia" w:ascii="楷体" w:hAnsi="楷体" w:eastAsia="楷体" w:cs="楷体"/>
          <w:color w:val="000000"/>
          <w:sz w:val="32"/>
          <w:szCs w:val="32"/>
          <w:lang w:val="zh-TW" w:eastAsia="zh-CN"/>
        </w:rPr>
        <w:t>正确处理好经济发展与生态环境保护的关系，积极推进产业生态化和生态产业化</w:t>
      </w: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，推动全市生态环境质量持续改善。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3.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eastAsia="zh-CN"/>
        </w:rPr>
        <w:t>强化系统管控，防债务风险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。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highlight w:val="none"/>
          <w:lang w:eastAsia="zh-CN"/>
        </w:rPr>
        <w:t>牢牢树立总体安全观，平衡好发展与风险的关系，确保财政稳健运行、可持续。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一是提高债券资金使用绩效。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建立健全地方政府债券项目库，坚持“资金跟项目走”，优化投向结构，提高使用效益。支持做好专项债券项目配套融资工作，依法合规推进重大项目融资。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二是防范化解政府债务风险。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严格落实化债计划，积极争取置换债券额度、建制县区隐性债务风险化解试点，降低融资成本。推进融资平台公司市场化、法治化转型，坚决防止风险累积形成系统性风险。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三是持续强化风险管控。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强化全口径债务动态监测管理，完善政府债务风险预警提示通报机制，进一步降低债务风险指标，实现政府债务风险可防、可控。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4.强化财政改革，重管理效益。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牢牢把握加快建立现代财政制度的目标要求，推进财政体制机制实现新突破。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一是落实落细财政预算管理。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认真贯彻《预算法》，落实好新修订的《预算法实施条例》，将预算编制、预算执行、决算和财务报告、资产管理、债务管理等业务环节按一个整体进行规范整合，不断提升财政管理水平。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二是有序有效推动绩效管理。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深入推动预算和绩效管理一体化，大力推行全方位、全过程、全覆盖的预算绩效管理体系，进一步增强“花钱必问效、无效必问责”的绩效意识。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三是稳步推进国资国企改革。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加快推进国有资本投资、公司运营改革，稳步推进行政事业单位经营性国有资产集中统一监管，推动国有资本保值增值。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四是持续深化政府采购管理。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完善电子化政府采购平台建设，实现政府采购管理重心从事前审批转向事中事后监督，提升政府采购质量。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五是不断完善社会资本投资。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规范推广政府和社会资本合作（PPP）模式，充分发挥政府购买服务、政府采购等引导带动作用，撬动社会资本加大投资。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5.强化法治理念，推依法理财。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坚定不移正风肃纪，持之以恒加强纪律作风建设。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一是深入推进财政法治建设。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牢固树立预算法治意识，硬化预算执行约束，严格执行市人大批准的预算，从严控制预算调剂事项。严格执行预决算公开相关规定，主动接受社会监督。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二是依法行使财政监督职能。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深入贯彻执行《江西省行政执法条例》，严格规范执法监督检查、审理等程序。持续加强对脱贫攻坚、预决算公开、地方政府债务和财政专项资金等领域财政政策执行情况监督。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三是不断提高依法监管水平。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坚持“制度创新+科技创新”，积极推进财政业务综合一体化系统建设，促进建立全面规范透明、标准科学、约束有力的预算制度。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各位代表，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shd w:val="clear" w:color="auto" w:fill="FFFFFF"/>
        </w:rPr>
        <w:t>202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1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是</w:t>
      </w: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“十四五”开局、全面建设社会主义现代化启程的第一年，也是中国共产党成立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100周年、</w:t>
      </w: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中华苏维埃共和国成立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90周年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，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shd w:val="clear" w:color="auto" w:fill="FFFFFF"/>
        </w:rPr>
        <w:t>做好202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1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shd w:val="clear" w:color="auto" w:fill="FFFFFF"/>
        </w:rPr>
        <w:t>年财政工作任务艰巨、责任重大、使命光荣。我们将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shd w:val="clear" w:color="auto" w:fill="FFFFFF"/>
          <w:lang w:eastAsia="zh-CN"/>
        </w:rPr>
        <w:t>更加</w:t>
      </w:r>
      <w:r>
        <w:rPr>
          <w:rFonts w:hint="eastAsia" w:ascii="楷体" w:hAnsi="楷体" w:eastAsia="楷体" w:cs="楷体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  <w:t>紧密地团结在以习近平同志为核心的党中央周围，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shd w:val="clear" w:color="auto" w:fill="FFFFFF"/>
        </w:rPr>
        <w:t>在市委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shd w:val="clear" w:color="auto" w:fill="FFFFFF"/>
          <w:lang w:eastAsia="zh-CN"/>
        </w:rPr>
        <w:t>、市政府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shd w:val="clear" w:color="auto" w:fill="FFFFFF"/>
        </w:rPr>
        <w:t>的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shd w:val="clear" w:color="auto" w:fill="FFFFFF"/>
          <w:lang w:eastAsia="zh-CN"/>
        </w:rPr>
        <w:t>坚强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shd w:val="clear" w:color="auto" w:fill="FFFFFF"/>
        </w:rPr>
        <w:t>领导下，在市人大及其常委会的监督指导和市政协的关心支持下，立足全市发展新的历史定位，紧扣社会主要矛盾变化，进一步提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shd w:val="clear" w:color="auto" w:fill="FFFFFF"/>
          <w:lang w:eastAsia="zh-CN"/>
        </w:rPr>
        <w:t>高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shd w:val="clear" w:color="auto" w:fill="FFFFFF"/>
        </w:rPr>
        <w:t>政治站位，坚持改革创新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shd w:val="clear" w:color="auto" w:fill="FFFFFF"/>
          <w:lang w:eastAsia="zh-CN"/>
        </w:rPr>
        <w:t>、勇于担当、积极作为，</w:t>
      </w:r>
      <w:r>
        <w:rPr>
          <w:rFonts w:hint="eastAsia" w:ascii="楷体" w:hAnsi="楷体" w:eastAsia="楷体" w:cs="楷体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  <w:t>为谱写瑞金高质量发展新篇章、全面开启社会主义现代化建设新征程提供坚实财力保障，以优异成绩迎接建党100周年。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eastAsia="zh-CN"/>
        </w:rPr>
      </w:pPr>
    </w:p>
    <w:p>
      <w:pPr>
        <w:pStyle w:val="5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eastAsia="zh-CN"/>
        </w:rPr>
      </w:pPr>
    </w:p>
    <w:p>
      <w:pPr>
        <w:pStyle w:val="5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eastAsia="zh-CN"/>
        </w:rPr>
      </w:pPr>
    </w:p>
    <w:p>
      <w:pPr>
        <w:pStyle w:val="5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eastAsia="zh-CN"/>
        </w:rPr>
      </w:pPr>
    </w:p>
    <w:p>
      <w:pPr>
        <w:pStyle w:val="5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eastAsia="zh-CN"/>
        </w:rPr>
      </w:pPr>
    </w:p>
    <w:p>
      <w:pPr>
        <w:pStyle w:val="5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eastAsia="zh-CN"/>
        </w:rPr>
      </w:pPr>
    </w:p>
    <w:p>
      <w:pPr>
        <w:pStyle w:val="2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rPr>
          <w:rFonts w:hint="eastAsia" w:ascii="楷体_GB2312" w:eastAsia="楷体_GB2312"/>
          <w:sz w:val="32"/>
          <w:szCs w:val="32"/>
        </w:rPr>
      </w:pPr>
      <w:r>
        <w:rPr>
          <w:rFonts w:hint="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4963160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16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.8pt;height:0.05pt;width:390.8pt;z-index:251660288;mso-width-relative:page;mso-height-relative:page;" filled="f" stroked="t" coordsize="21600,21600" o:gfxdata="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ACBrKNMAAAAEAQAADwAAAAAAAAABACAAAAAiAAAAZHJzL2Rvd25yZXYueG1sUEsB&#10;AhQAFAAAAAgAh07iQN/nI4j6AQAA9AMAAA4AAAAAAAAAAQAgAAAAIg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eastAsia="楷体_GB2312"/>
          <w:sz w:val="32"/>
          <w:szCs w:val="32"/>
          <w:lang w:eastAsia="zh-CN"/>
        </w:rPr>
        <w:t>市六届人大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六</w:t>
      </w:r>
      <w:r>
        <w:rPr>
          <w:rFonts w:hint="eastAsia" w:ascii="楷体_GB2312" w:eastAsia="楷体_GB2312"/>
          <w:sz w:val="32"/>
          <w:szCs w:val="32"/>
          <w:lang w:eastAsia="zh-CN"/>
        </w:rPr>
        <w:t>次会议</w:t>
      </w:r>
      <w:r>
        <w:rPr>
          <w:rFonts w:hint="eastAsia" w:ascii="楷体_GB2312" w:eastAsia="楷体_GB2312"/>
          <w:sz w:val="32"/>
          <w:szCs w:val="32"/>
        </w:rPr>
        <w:t xml:space="preserve">秘书处        </w:t>
      </w:r>
      <w:r>
        <w:rPr>
          <w:rFonts w:hint="eastAsia" w:ascii="楷体_GB2312" w:eastAsia="楷体_GB2312"/>
          <w:sz w:val="32"/>
          <w:szCs w:val="32"/>
          <w:lang w:eastAsia="zh-CN"/>
        </w:rPr>
        <w:t>202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1</w:t>
      </w:r>
      <w:r>
        <w:rPr>
          <w:rFonts w:hint="eastAsia" w:ascii="楷体_GB2312" w:eastAsia="楷体_GB2312"/>
          <w:sz w:val="32"/>
          <w:szCs w:val="32"/>
          <w:lang w:eastAsia="zh-CN"/>
        </w:rPr>
        <w:t>年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3月9日</w:t>
      </w:r>
      <w:r>
        <w:rPr>
          <w:rFonts w:hint="eastAsia" w:ascii="楷体_GB2312" w:eastAsia="楷体_GB2312"/>
          <w:sz w:val="32"/>
          <w:szCs w:val="32"/>
        </w:rPr>
        <w:t>印</w:t>
      </w:r>
    </w:p>
    <w:p>
      <w:pPr>
        <w:ind w:firstLine="6020" w:firstLineChars="215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4963160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16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.8pt;height:0.05pt;width:390.8pt;z-index:251661312;mso-width-relative:page;mso-height-relative:page;" filled="f" stroked="t" coordsize="21600,21600" o:gfxdata="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AAgayjTAAAABAEAAA8AAAAAAAAAAQAgAAAAIgAAAGRycy9kb3ducmV2LnhtbFBL&#10;AQIUABQAAAAIAIdO4kDfJfCw+wEAAPQDAAAOAAAAAAAAAAEAIAAAACI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eastAsia="楷体_GB2312"/>
          <w:sz w:val="32"/>
          <w:szCs w:val="32"/>
        </w:rPr>
        <w:t>共印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790</w:t>
      </w:r>
      <w:r>
        <w:rPr>
          <w:rFonts w:hint="eastAsia" w:ascii="楷体_GB2312" w:eastAsia="楷体_GB2312"/>
          <w:sz w:val="32"/>
          <w:szCs w:val="32"/>
        </w:rPr>
        <w:t>份</w:t>
      </w:r>
    </w:p>
    <w:p>
      <w:pPr>
        <w:pStyle w:val="29"/>
        <w:ind w:firstLine="0" w:firstLineChars="0"/>
        <w:rPr>
          <w:rFonts w:hint="eastAsia"/>
        </w:rPr>
        <w:sectPr>
          <w:footerReference r:id="rId3" w:type="default"/>
          <w:pgSz w:w="10431" w:h="14740"/>
          <w:pgMar w:top="1304" w:right="1304" w:bottom="1304" w:left="1304" w:header="851" w:footer="992" w:gutter="0"/>
          <w:cols w:space="720" w:num="1"/>
          <w:rtlGutter w:val="0"/>
          <w:docGrid w:type="lines" w:linePitch="319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highlight w:val="none"/>
          <w:lang w:eastAsia="zh-CN"/>
        </w:rPr>
        <w:t>名词注释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1.一般性支出。</w:t>
      </w:r>
      <w:r>
        <w:rPr>
          <w:rFonts w:hint="eastAsia" w:ascii="仿宋_GB2312" w:hAnsi="仿宋_GB2312" w:eastAsia="仿宋_GB2312" w:cs="仿宋_GB2312"/>
          <w:sz w:val="32"/>
          <w:szCs w:val="32"/>
        </w:rPr>
        <w:t>是指国家权力机关和行政机关的经费支出，主要包括:各级人大及人大常委会的活动费用，各级人民政府及其职能部门的活动费用。主要包括:差旅费、会议费、接待费用、日常办公、购车及车辆运行费、楼堂馆所及装修支出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.“三公”经费。</w:t>
      </w:r>
      <w:r>
        <w:rPr>
          <w:rFonts w:hint="eastAsia" w:ascii="仿宋_GB2312" w:hAnsi="仿宋_GB2312" w:eastAsia="仿宋_GB2312" w:cs="仿宋_GB2312"/>
          <w:sz w:val="32"/>
          <w:szCs w:val="32"/>
        </w:rPr>
        <w:t>是指因公出国（境）费、公务用车购置及运行费和公务接待费。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3.三大攻坚战。</w:t>
      </w:r>
      <w:r>
        <w:rPr>
          <w:rFonts w:hint="eastAsia" w:ascii="仿宋_GB2312" w:hAnsi="仿宋_GB2312" w:eastAsia="仿宋_GB2312" w:cs="仿宋_GB2312"/>
          <w:sz w:val="32"/>
          <w:szCs w:val="32"/>
        </w:rPr>
        <w:t>是指防范化解重大风险、精准脱贫、污染防治。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4.“六稳”。</w:t>
      </w:r>
      <w:r>
        <w:rPr>
          <w:rFonts w:hint="eastAsia" w:ascii="仿宋_GB2312" w:hAnsi="仿宋_GB2312" w:eastAsia="仿宋_GB2312" w:cs="仿宋_GB2312"/>
          <w:sz w:val="32"/>
          <w:szCs w:val="32"/>
        </w:rPr>
        <w:t>是指稳就业、稳金融、稳外贸、稳外资、稳投资、稳预期工作。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5.“六保”。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保居民就业、保基本民生、保市场主体、保粮食能源安全、保产业链供应链稳定、保基层运转。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6.“信贷通”。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指</w:t>
      </w:r>
      <w:r>
        <w:rPr>
          <w:rFonts w:hint="eastAsia" w:ascii="仿宋_GB2312" w:hAnsi="仿宋_GB2312" w:eastAsia="仿宋_GB2312" w:cs="仿宋_GB2312"/>
          <w:sz w:val="32"/>
          <w:szCs w:val="32"/>
        </w:rPr>
        <w:t>财园信贷通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小微信贷通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创业信贷通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财政惠农信贷通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产业扶贫信贷通。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7.“三保”。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保工资、保运转、保基本民生。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8.“零基预算”。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指不考虑过去项目和收支，以零为基点编制预算，不受以往预算安排情况的影响，一切从实际需要出发，逐项审议预算年度内各项费用的内容及其开支标准，结合财力状况，在综合平衡的基础上编制预算的现代预算编制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4" w:type="default"/>
      <w:pgSz w:w="10431" w:h="14740"/>
      <w:pgMar w:top="1304" w:right="1304" w:bottom="1304" w:left="1304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nQHp8yAgAAYwQAAA4AAABkcnMvZTJvRG9jLnhtbK1UzY7TMBC+I/EO&#10;lu80bdGu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CdAenz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9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42F0D"/>
    <w:rsid w:val="01162BE4"/>
    <w:rsid w:val="01491E64"/>
    <w:rsid w:val="0152553B"/>
    <w:rsid w:val="01D428A3"/>
    <w:rsid w:val="01DB5150"/>
    <w:rsid w:val="01DC7A87"/>
    <w:rsid w:val="023E68A5"/>
    <w:rsid w:val="026F1343"/>
    <w:rsid w:val="02F44DDB"/>
    <w:rsid w:val="034A4E30"/>
    <w:rsid w:val="04BF39C6"/>
    <w:rsid w:val="05583AB9"/>
    <w:rsid w:val="06876D92"/>
    <w:rsid w:val="07091191"/>
    <w:rsid w:val="07807066"/>
    <w:rsid w:val="095630BA"/>
    <w:rsid w:val="0A4453C3"/>
    <w:rsid w:val="0A7233CD"/>
    <w:rsid w:val="0A72553E"/>
    <w:rsid w:val="0D097B23"/>
    <w:rsid w:val="0D1F1B7F"/>
    <w:rsid w:val="0DF95347"/>
    <w:rsid w:val="0E3F515F"/>
    <w:rsid w:val="0EB719C9"/>
    <w:rsid w:val="0ECC7569"/>
    <w:rsid w:val="11624641"/>
    <w:rsid w:val="118741C2"/>
    <w:rsid w:val="11ED1C39"/>
    <w:rsid w:val="125C39BE"/>
    <w:rsid w:val="126E495E"/>
    <w:rsid w:val="127A46CB"/>
    <w:rsid w:val="12DA1132"/>
    <w:rsid w:val="130B3411"/>
    <w:rsid w:val="13221646"/>
    <w:rsid w:val="13260387"/>
    <w:rsid w:val="133D1859"/>
    <w:rsid w:val="136D6AE6"/>
    <w:rsid w:val="14414398"/>
    <w:rsid w:val="14A964A2"/>
    <w:rsid w:val="14C369D2"/>
    <w:rsid w:val="14CB3E91"/>
    <w:rsid w:val="14E056EB"/>
    <w:rsid w:val="150D79BB"/>
    <w:rsid w:val="15686555"/>
    <w:rsid w:val="157618FD"/>
    <w:rsid w:val="15E91445"/>
    <w:rsid w:val="164E33B4"/>
    <w:rsid w:val="181D1F19"/>
    <w:rsid w:val="185E2097"/>
    <w:rsid w:val="18C32EC6"/>
    <w:rsid w:val="199A794C"/>
    <w:rsid w:val="19AD52F6"/>
    <w:rsid w:val="1AA81A99"/>
    <w:rsid w:val="1B5A5D55"/>
    <w:rsid w:val="1B7B3139"/>
    <w:rsid w:val="1CFC65CA"/>
    <w:rsid w:val="1E3D2AAD"/>
    <w:rsid w:val="1F1F5419"/>
    <w:rsid w:val="1F272963"/>
    <w:rsid w:val="205B7490"/>
    <w:rsid w:val="20603460"/>
    <w:rsid w:val="20605744"/>
    <w:rsid w:val="21DC3A17"/>
    <w:rsid w:val="224E6449"/>
    <w:rsid w:val="225A5FCC"/>
    <w:rsid w:val="22C1198B"/>
    <w:rsid w:val="238677B3"/>
    <w:rsid w:val="23ED46C5"/>
    <w:rsid w:val="241B2DFE"/>
    <w:rsid w:val="24721889"/>
    <w:rsid w:val="25545C92"/>
    <w:rsid w:val="25C97614"/>
    <w:rsid w:val="27467798"/>
    <w:rsid w:val="27833A45"/>
    <w:rsid w:val="27DB2923"/>
    <w:rsid w:val="28B6658B"/>
    <w:rsid w:val="28DB32D8"/>
    <w:rsid w:val="2A143C6F"/>
    <w:rsid w:val="2C9E657D"/>
    <w:rsid w:val="2D1740CE"/>
    <w:rsid w:val="2D2A6DFC"/>
    <w:rsid w:val="2D816AD2"/>
    <w:rsid w:val="2D8E66C3"/>
    <w:rsid w:val="2E527048"/>
    <w:rsid w:val="2E5753AD"/>
    <w:rsid w:val="2E633D45"/>
    <w:rsid w:val="2FC441CA"/>
    <w:rsid w:val="30346C0C"/>
    <w:rsid w:val="30453249"/>
    <w:rsid w:val="30607937"/>
    <w:rsid w:val="32362073"/>
    <w:rsid w:val="32AF55A6"/>
    <w:rsid w:val="32DC3B72"/>
    <w:rsid w:val="33472D2C"/>
    <w:rsid w:val="334F10CF"/>
    <w:rsid w:val="343B77C9"/>
    <w:rsid w:val="34E61A26"/>
    <w:rsid w:val="358B6569"/>
    <w:rsid w:val="35CE29BC"/>
    <w:rsid w:val="36355629"/>
    <w:rsid w:val="365F2AF2"/>
    <w:rsid w:val="36D06DAF"/>
    <w:rsid w:val="370F1305"/>
    <w:rsid w:val="378873BB"/>
    <w:rsid w:val="37D064EE"/>
    <w:rsid w:val="3866243B"/>
    <w:rsid w:val="38E41E0D"/>
    <w:rsid w:val="39251000"/>
    <w:rsid w:val="39827000"/>
    <w:rsid w:val="3992538C"/>
    <w:rsid w:val="39957E8E"/>
    <w:rsid w:val="3A0E43B0"/>
    <w:rsid w:val="3B656B36"/>
    <w:rsid w:val="3BA74728"/>
    <w:rsid w:val="3C5049E2"/>
    <w:rsid w:val="3CAC5EE1"/>
    <w:rsid w:val="3CE21F24"/>
    <w:rsid w:val="3E121F38"/>
    <w:rsid w:val="3EE0476C"/>
    <w:rsid w:val="3F7863D4"/>
    <w:rsid w:val="3F7A0A80"/>
    <w:rsid w:val="3F876F45"/>
    <w:rsid w:val="406730A5"/>
    <w:rsid w:val="406C5707"/>
    <w:rsid w:val="40E9159D"/>
    <w:rsid w:val="413D468D"/>
    <w:rsid w:val="414B5F73"/>
    <w:rsid w:val="415C2FAC"/>
    <w:rsid w:val="4180686E"/>
    <w:rsid w:val="42523698"/>
    <w:rsid w:val="42A35C52"/>
    <w:rsid w:val="42AC1A0E"/>
    <w:rsid w:val="42C57B2C"/>
    <w:rsid w:val="43D3022C"/>
    <w:rsid w:val="449E2E37"/>
    <w:rsid w:val="44BF583D"/>
    <w:rsid w:val="44C43BD9"/>
    <w:rsid w:val="45194482"/>
    <w:rsid w:val="465F4DB6"/>
    <w:rsid w:val="476134D3"/>
    <w:rsid w:val="47907564"/>
    <w:rsid w:val="4842109A"/>
    <w:rsid w:val="48F97714"/>
    <w:rsid w:val="49D255ED"/>
    <w:rsid w:val="4AE27E2C"/>
    <w:rsid w:val="4B412BC6"/>
    <w:rsid w:val="4B9A1CCA"/>
    <w:rsid w:val="4BCA2C78"/>
    <w:rsid w:val="4CD552F1"/>
    <w:rsid w:val="4D336975"/>
    <w:rsid w:val="4D9D396F"/>
    <w:rsid w:val="4E05721D"/>
    <w:rsid w:val="4E1033FE"/>
    <w:rsid w:val="4E7D637B"/>
    <w:rsid w:val="4ED106E6"/>
    <w:rsid w:val="52B610FA"/>
    <w:rsid w:val="53527B71"/>
    <w:rsid w:val="54075D08"/>
    <w:rsid w:val="54F562AB"/>
    <w:rsid w:val="55175513"/>
    <w:rsid w:val="558E7C9A"/>
    <w:rsid w:val="55FA7B21"/>
    <w:rsid w:val="561B228C"/>
    <w:rsid w:val="56577055"/>
    <w:rsid w:val="56C45B52"/>
    <w:rsid w:val="56F634C5"/>
    <w:rsid w:val="575073A3"/>
    <w:rsid w:val="58347194"/>
    <w:rsid w:val="5918661B"/>
    <w:rsid w:val="59B8620B"/>
    <w:rsid w:val="5AAA0AE4"/>
    <w:rsid w:val="5AF574AE"/>
    <w:rsid w:val="5B105616"/>
    <w:rsid w:val="5B8B4D30"/>
    <w:rsid w:val="5BAD6104"/>
    <w:rsid w:val="5C4433C0"/>
    <w:rsid w:val="5C634008"/>
    <w:rsid w:val="5C810C91"/>
    <w:rsid w:val="5CCE09D2"/>
    <w:rsid w:val="5CD3769A"/>
    <w:rsid w:val="5D05103A"/>
    <w:rsid w:val="5D3F347E"/>
    <w:rsid w:val="5E65311C"/>
    <w:rsid w:val="5EB633C4"/>
    <w:rsid w:val="5EE33BE5"/>
    <w:rsid w:val="5EF714B0"/>
    <w:rsid w:val="5F206D2D"/>
    <w:rsid w:val="5FFD5179"/>
    <w:rsid w:val="6073785E"/>
    <w:rsid w:val="60DF75B2"/>
    <w:rsid w:val="612F0287"/>
    <w:rsid w:val="61376776"/>
    <w:rsid w:val="621F2C51"/>
    <w:rsid w:val="622F4DA0"/>
    <w:rsid w:val="62750A99"/>
    <w:rsid w:val="6276775F"/>
    <w:rsid w:val="62ED30C9"/>
    <w:rsid w:val="62EF697E"/>
    <w:rsid w:val="634D2345"/>
    <w:rsid w:val="63740506"/>
    <w:rsid w:val="639D54A8"/>
    <w:rsid w:val="63AF1E1D"/>
    <w:rsid w:val="63E40CFC"/>
    <w:rsid w:val="648C2007"/>
    <w:rsid w:val="64F60092"/>
    <w:rsid w:val="662512BB"/>
    <w:rsid w:val="662E706A"/>
    <w:rsid w:val="671D37C3"/>
    <w:rsid w:val="67A17052"/>
    <w:rsid w:val="68914218"/>
    <w:rsid w:val="68B770CB"/>
    <w:rsid w:val="6983762E"/>
    <w:rsid w:val="698D59E8"/>
    <w:rsid w:val="69FC4A82"/>
    <w:rsid w:val="6A72436F"/>
    <w:rsid w:val="6ABB1ECB"/>
    <w:rsid w:val="6B623431"/>
    <w:rsid w:val="6C046510"/>
    <w:rsid w:val="6CA6508E"/>
    <w:rsid w:val="6CD813F7"/>
    <w:rsid w:val="6D3A3F3E"/>
    <w:rsid w:val="6DDA30D1"/>
    <w:rsid w:val="6E4D4FD9"/>
    <w:rsid w:val="6E7725D7"/>
    <w:rsid w:val="6F1B213F"/>
    <w:rsid w:val="6F453D43"/>
    <w:rsid w:val="6F8C2BD3"/>
    <w:rsid w:val="70334AA7"/>
    <w:rsid w:val="70EB6061"/>
    <w:rsid w:val="71043903"/>
    <w:rsid w:val="7296562B"/>
    <w:rsid w:val="72E329E7"/>
    <w:rsid w:val="72F15CC6"/>
    <w:rsid w:val="73555E67"/>
    <w:rsid w:val="73D45F59"/>
    <w:rsid w:val="74083EE6"/>
    <w:rsid w:val="743C1C9A"/>
    <w:rsid w:val="74F140D4"/>
    <w:rsid w:val="75120A8B"/>
    <w:rsid w:val="75231BDC"/>
    <w:rsid w:val="754A4133"/>
    <w:rsid w:val="762C30CF"/>
    <w:rsid w:val="76543432"/>
    <w:rsid w:val="76775191"/>
    <w:rsid w:val="76CC64DA"/>
    <w:rsid w:val="76F01D56"/>
    <w:rsid w:val="77AB6350"/>
    <w:rsid w:val="77B2188B"/>
    <w:rsid w:val="77E83F6B"/>
    <w:rsid w:val="78A17804"/>
    <w:rsid w:val="797363CA"/>
    <w:rsid w:val="79C51FB6"/>
    <w:rsid w:val="79D25761"/>
    <w:rsid w:val="7A1E199F"/>
    <w:rsid w:val="7A293FA3"/>
    <w:rsid w:val="7B924D0D"/>
    <w:rsid w:val="7C5B3FD4"/>
    <w:rsid w:val="7C6D0025"/>
    <w:rsid w:val="7D2305A9"/>
    <w:rsid w:val="7D3D7BC0"/>
    <w:rsid w:val="7F9775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Body Text First Indent"/>
    <w:basedOn w:val="2"/>
    <w:qFormat/>
    <w:uiPriority w:val="0"/>
    <w:pPr>
      <w:ind w:firstLine="420" w:firstLineChars="100"/>
    </w:pPr>
  </w:style>
  <w:style w:type="character" w:styleId="8">
    <w:name w:val="Strong"/>
    <w:basedOn w:val="7"/>
    <w:qFormat/>
    <w:uiPriority w:val="0"/>
    <w:rPr>
      <w:sz w:val="24"/>
      <w:szCs w:val="24"/>
    </w:rPr>
  </w:style>
  <w:style w:type="character" w:styleId="9">
    <w:name w:val="FollowedHyperlink"/>
    <w:basedOn w:val="7"/>
    <w:uiPriority w:val="0"/>
    <w:rPr>
      <w:color w:val="333333"/>
      <w:u w:val="none"/>
    </w:rPr>
  </w:style>
  <w:style w:type="character" w:styleId="10">
    <w:name w:val="Emphasis"/>
    <w:basedOn w:val="7"/>
    <w:qFormat/>
    <w:uiPriority w:val="0"/>
    <w:rPr>
      <w:sz w:val="24"/>
      <w:szCs w:val="24"/>
    </w:rPr>
  </w:style>
  <w:style w:type="character" w:styleId="11">
    <w:name w:val="HTML Definition"/>
    <w:basedOn w:val="7"/>
    <w:uiPriority w:val="0"/>
    <w:rPr>
      <w:i/>
    </w:rPr>
  </w:style>
  <w:style w:type="character" w:styleId="12">
    <w:name w:val="Hyperlink"/>
    <w:basedOn w:val="7"/>
    <w:uiPriority w:val="0"/>
    <w:rPr>
      <w:color w:val="333333"/>
      <w:u w:val="none"/>
    </w:rPr>
  </w:style>
  <w:style w:type="character" w:styleId="13">
    <w:name w:val="HTML Code"/>
    <w:basedOn w:val="7"/>
    <w:uiPriority w:val="0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4">
    <w:name w:val="HTML Keyboard"/>
    <w:basedOn w:val="7"/>
    <w:qFormat/>
    <w:uiPriority w:val="0"/>
    <w:rPr>
      <w:rFonts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5">
    <w:name w:val="HTML Sample"/>
    <w:basedOn w:val="7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6">
    <w:name w:val="bsharetext"/>
    <w:basedOn w:val="7"/>
    <w:uiPriority w:val="0"/>
  </w:style>
  <w:style w:type="character" w:customStyle="1" w:styleId="17">
    <w:name w:val="wf-f-forecast-aqi-5[data-v-158b712f]"/>
    <w:basedOn w:val="7"/>
    <w:uiPriority w:val="0"/>
    <w:rPr>
      <w:color w:val="8A4DAA"/>
    </w:rPr>
  </w:style>
  <w:style w:type="character" w:customStyle="1" w:styleId="18">
    <w:name w:val="wf-f-forecast-aqi-2[data-v-158b712f]"/>
    <w:basedOn w:val="7"/>
    <w:uiPriority w:val="0"/>
    <w:rPr>
      <w:color w:val="E4C600"/>
    </w:rPr>
  </w:style>
  <w:style w:type="character" w:customStyle="1" w:styleId="19">
    <w:name w:val="wf-f-forecast-aqi-6[data-v-158b712f]"/>
    <w:basedOn w:val="7"/>
    <w:uiPriority w:val="0"/>
    <w:rPr>
      <w:color w:val="BF2762"/>
    </w:rPr>
  </w:style>
  <w:style w:type="character" w:customStyle="1" w:styleId="20">
    <w:name w:val="wf-f-forecast-aqi-1[data-v-158b712f]"/>
    <w:basedOn w:val="7"/>
    <w:qFormat/>
    <w:uiPriority w:val="0"/>
    <w:rPr>
      <w:color w:val="94CE6F"/>
    </w:rPr>
  </w:style>
  <w:style w:type="character" w:customStyle="1" w:styleId="21">
    <w:name w:val="wx-space"/>
    <w:basedOn w:val="7"/>
    <w:uiPriority w:val="0"/>
  </w:style>
  <w:style w:type="character" w:customStyle="1" w:styleId="22">
    <w:name w:val="time"/>
    <w:basedOn w:val="7"/>
    <w:uiPriority w:val="0"/>
    <w:rPr>
      <w:rFonts w:ascii="Arial" w:hAnsi="Arial" w:cs="Arial"/>
    </w:rPr>
  </w:style>
  <w:style w:type="character" w:customStyle="1" w:styleId="23">
    <w:name w:val="wf-f-forecast-aqi-4[data-v-158b712f]"/>
    <w:basedOn w:val="7"/>
    <w:uiPriority w:val="0"/>
    <w:rPr>
      <w:color w:val="C76464"/>
    </w:rPr>
  </w:style>
  <w:style w:type="character" w:customStyle="1" w:styleId="24">
    <w:name w:val="select2-selection__rendered"/>
    <w:basedOn w:val="7"/>
    <w:uiPriority w:val="0"/>
    <w:rPr>
      <w:sz w:val="18"/>
      <w:szCs w:val="18"/>
    </w:rPr>
  </w:style>
  <w:style w:type="character" w:customStyle="1" w:styleId="25">
    <w:name w:val="wx-space1"/>
    <w:basedOn w:val="7"/>
    <w:uiPriority w:val="0"/>
  </w:style>
  <w:style w:type="character" w:customStyle="1" w:styleId="26">
    <w:name w:val="wf-f-forecast-aqi-3[data-v-158b712f]"/>
    <w:basedOn w:val="7"/>
    <w:uiPriority w:val="0"/>
    <w:rPr>
      <w:color w:val="E59C3B"/>
    </w:rPr>
  </w:style>
  <w:style w:type="character" w:customStyle="1" w:styleId="27">
    <w:name w:val="hover17"/>
    <w:basedOn w:val="7"/>
    <w:uiPriority w:val="0"/>
    <w:rPr>
      <w:color w:val="000000"/>
      <w:shd w:val="clear" w:color="auto" w:fill="FFFFFF"/>
    </w:rPr>
  </w:style>
  <w:style w:type="paragraph" w:customStyle="1" w:styleId="28">
    <w:name w:val="Normal Indent"/>
    <w:basedOn w:val="1"/>
    <w:qFormat/>
    <w:uiPriority w:val="0"/>
    <w:pPr>
      <w:ind w:firstLine="420" w:firstLineChars="200"/>
    </w:pPr>
  </w:style>
  <w:style w:type="paragraph" w:customStyle="1" w:styleId="29">
    <w:name w:val="正文缩进1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大力水手1380016461</cp:lastModifiedBy>
  <cp:lastPrinted>2021-03-07T01:06:00Z</cp:lastPrinted>
  <dcterms:modified xsi:type="dcterms:W3CDTF">2021-03-30T08:14:41Z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DBE76C1CBA754301BC60108A92ACB2DB</vt:lpwstr>
  </property>
</Properties>
</file>