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2020年</w:t>
      </w:r>
      <w:r>
        <w:rPr>
          <w:rFonts w:hint="eastAsia" w:ascii="黑体" w:hAnsi="黑体" w:eastAsia="黑体" w:cs="黑体"/>
          <w:b/>
          <w:color w:val="000000"/>
          <w:sz w:val="36"/>
          <w:szCs w:val="36"/>
          <w:lang w:eastAsia="zh-CN"/>
        </w:rPr>
        <w:t>瑞金市</w:t>
      </w:r>
      <w:r>
        <w:rPr>
          <w:rFonts w:hint="eastAsia" w:ascii="黑体" w:hAnsi="黑体" w:eastAsia="黑体" w:cs="黑体"/>
          <w:b/>
          <w:color w:val="000000"/>
          <w:sz w:val="36"/>
          <w:szCs w:val="36"/>
        </w:rPr>
        <w:t>部门预算本级财力安排专项资金</w:t>
      </w:r>
    </w:p>
    <w:p>
      <w:pPr>
        <w:spacing w:line="620" w:lineRule="exact"/>
        <w:jc w:val="center"/>
        <w:rPr>
          <w:rFonts w:ascii="黑体" w:hAnsi="黑体" w:eastAsia="黑体" w:cs="黑体"/>
          <w:b/>
          <w:color w:val="000000"/>
          <w:sz w:val="36"/>
          <w:szCs w:val="36"/>
        </w:rPr>
      </w:pPr>
      <w:r>
        <w:rPr>
          <w:rFonts w:hint="eastAsia" w:ascii="黑体" w:hAnsi="黑体" w:eastAsia="黑体" w:cs="黑体"/>
          <w:b/>
          <w:color w:val="000000"/>
          <w:sz w:val="36"/>
          <w:szCs w:val="36"/>
        </w:rPr>
        <w:t>及上级提前告知专项资金支出</w:t>
      </w:r>
    </w:p>
    <w:p>
      <w:pPr>
        <w:spacing w:line="620" w:lineRule="exact"/>
        <w:jc w:val="center"/>
        <w:rPr>
          <w:rFonts w:ascii="黑体" w:hAnsi="黑体" w:eastAsia="黑体" w:cs="黑体"/>
          <w:b/>
          <w:color w:val="000000"/>
          <w:sz w:val="36"/>
          <w:szCs w:val="36"/>
        </w:rPr>
      </w:pPr>
      <w:r>
        <w:rPr>
          <w:rFonts w:hint="eastAsia" w:ascii="黑体" w:hAnsi="黑体" w:eastAsia="黑体" w:cs="黑体"/>
          <w:b/>
          <w:color w:val="000000"/>
          <w:sz w:val="36"/>
          <w:szCs w:val="36"/>
        </w:rPr>
        <w:t>预算编制说明</w:t>
      </w:r>
    </w:p>
    <w:p>
      <w:pPr>
        <w:ind w:firstLine="866" w:firstLineChars="196"/>
        <w:rPr>
          <w:rFonts w:ascii="仿宋" w:hAnsi="仿宋" w:eastAsia="仿宋"/>
          <w:b/>
          <w:color w:val="000000"/>
          <w:sz w:val="44"/>
          <w:szCs w:val="44"/>
        </w:rPr>
      </w:pPr>
    </w:p>
    <w:p>
      <w:pPr>
        <w:ind w:firstLine="627" w:firstLineChars="196"/>
        <w:rPr>
          <w:rFonts w:ascii="仿宋_GB2312" w:hAnsi="仿宋" w:eastAsia="仿宋_GB2312"/>
          <w:bCs/>
          <w:color w:val="000000"/>
          <w:sz w:val="32"/>
          <w:szCs w:val="32"/>
        </w:rPr>
      </w:pPr>
      <w:r>
        <w:rPr>
          <w:rFonts w:hint="eastAsia" w:ascii="仿宋_GB2312" w:hAnsi="仿宋" w:eastAsia="仿宋_GB2312"/>
          <w:color w:val="000000"/>
          <w:sz w:val="32"/>
          <w:szCs w:val="32"/>
        </w:rPr>
        <w:t>根据上级文件要求及市委、市政府年度重点工作安排，2020年我市本级财力安排的专项支出78,954.76万元，其中：专项经费53,095.95万元，</w:t>
      </w:r>
      <w:r>
        <w:rPr>
          <w:rFonts w:hint="eastAsia" w:ascii="仿宋_GB2312" w:hAnsi="仿宋" w:eastAsia="仿宋_GB2312"/>
          <w:bCs/>
          <w:color w:val="000000"/>
          <w:sz w:val="32"/>
          <w:szCs w:val="32"/>
        </w:rPr>
        <w:t>民生工程及配套资金25,774.81万元，</w:t>
      </w:r>
      <w:r>
        <w:rPr>
          <w:rFonts w:hint="eastAsia" w:ascii="仿宋_GB2312" w:hAnsi="仿宋" w:eastAsia="仿宋_GB2312"/>
          <w:color w:val="000000"/>
          <w:sz w:val="32"/>
          <w:szCs w:val="32"/>
        </w:rPr>
        <w:t>专项经费（乡级）84万元</w:t>
      </w:r>
      <w:r>
        <w:rPr>
          <w:rFonts w:hint="eastAsia" w:ascii="仿宋_GB2312" w:hAnsi="仿宋" w:eastAsia="仿宋_GB2312"/>
          <w:bCs/>
          <w:color w:val="00000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上级提前下达专项资金是中央、省、赣州市财政部门为加强预算完整性，在上一年或当年年初提前告知并下达给我市明确了用途的资金，执行中根据项目实施进度拨付资金，专款专用。2020年上级提前下达我市专项资金65,147万元，2019年结转下年支出资金2,021万元。</w:t>
      </w:r>
    </w:p>
    <w:p>
      <w:pPr>
        <w:ind w:firstLine="640" w:firstLineChars="200"/>
        <w:rPr>
          <w:rFonts w:ascii="仿宋_GB2312" w:eastAsia="仿宋_GB2312"/>
          <w:sz w:val="32"/>
          <w:szCs w:val="32"/>
        </w:rPr>
      </w:pPr>
      <w:r>
        <w:rPr>
          <w:rFonts w:hint="eastAsia" w:ascii="仿宋_GB2312" w:eastAsia="仿宋_GB2312"/>
          <w:sz w:val="32"/>
          <w:szCs w:val="32"/>
        </w:rPr>
        <w:t>以上合计支出总额：</w:t>
      </w:r>
      <w:r>
        <w:rPr>
          <w:rFonts w:hint="eastAsia" w:ascii="仿宋_GB2312" w:hAnsi="仿宋" w:eastAsia="仿宋_GB2312"/>
          <w:color w:val="000000"/>
          <w:sz w:val="32"/>
          <w:szCs w:val="32"/>
        </w:rPr>
        <w:t>146,122.76</w:t>
      </w:r>
      <w:r>
        <w:rPr>
          <w:rFonts w:hint="eastAsia" w:ascii="仿宋_GB2312" w:eastAsia="仿宋_GB2312"/>
          <w:sz w:val="32"/>
          <w:szCs w:val="32"/>
        </w:rPr>
        <w:t>万元。</w:t>
      </w:r>
    </w:p>
    <w:p>
      <w:pPr>
        <w:ind w:firstLine="643" w:firstLineChars="200"/>
        <w:rPr>
          <w:rFonts w:ascii="仿宋_GB2312" w:eastAsia="仿宋_GB2312"/>
          <w:sz w:val="32"/>
          <w:szCs w:val="32"/>
        </w:rPr>
      </w:pPr>
      <w:r>
        <w:rPr>
          <w:rFonts w:hint="eastAsia" w:ascii="仿宋_GB2312" w:eastAsia="仿宋_GB2312"/>
          <w:b/>
          <w:bCs/>
          <w:sz w:val="32"/>
          <w:szCs w:val="32"/>
        </w:rPr>
        <w:t>按支出功能分类的具体科目是：</w:t>
      </w:r>
      <w:r>
        <w:rPr>
          <w:rFonts w:hint="eastAsia" w:ascii="仿宋_GB2312" w:eastAsia="仿宋_GB2312"/>
          <w:sz w:val="32"/>
          <w:szCs w:val="32"/>
        </w:rPr>
        <w:t>一般公共服务支出6,716万元，公共安全支出2,419万元，教育支出8,367.66万元，科学技术支出266.66万元，文化旅游体育与传媒支出4,053万元，社会保障和就业支出37,463.41万元，卫生健康支出16,298.84万元，节能环保支出400万元，城乡社区支出8,304.53万元，农林水支出32,669.56万元，资源勘探信息等支出10,000万元，住房保障支出7,519万元，灾害防治及应急管理支出2,360万元，预备费3,054.39万元，债务付息支出6,230.71万元。</w:t>
      </w:r>
    </w:p>
    <w:p>
      <w:pPr>
        <w:widowControl/>
        <w:ind w:firstLine="640" w:firstLineChars="200"/>
        <w:jc w:val="left"/>
        <w:textAlignment w:val="center"/>
        <w:rPr>
          <w:rFonts w:hint="eastAsia" w:ascii="黑体" w:hAnsi="黑体" w:eastAsia="黑体" w:cs="黑体"/>
          <w:b/>
          <w:color w:val="000000"/>
          <w:sz w:val="44"/>
          <w:szCs w:val="44"/>
        </w:rPr>
      </w:pPr>
      <w:r>
        <w:rPr>
          <w:rFonts w:hint="eastAsia" w:ascii="仿宋_GB2312" w:eastAsia="仿宋_GB2312"/>
          <w:sz w:val="32"/>
          <w:szCs w:val="32"/>
          <w:lang w:eastAsia="zh-CN"/>
        </w:rPr>
        <w:t>附</w:t>
      </w:r>
      <w:r>
        <w:rPr>
          <w:rFonts w:hint="eastAsia" w:ascii="仿宋_GB2312" w:eastAsia="仿宋_GB2312"/>
          <w:sz w:val="32"/>
          <w:szCs w:val="32"/>
        </w:rPr>
        <w:t>表：2020年</w:t>
      </w:r>
      <w:r>
        <w:rPr>
          <w:rFonts w:hint="eastAsia" w:ascii="仿宋_GB2312" w:eastAsia="仿宋_GB2312"/>
          <w:sz w:val="32"/>
          <w:szCs w:val="32"/>
          <w:lang w:eastAsia="zh-CN"/>
        </w:rPr>
        <w:t>瑞金市</w:t>
      </w:r>
      <w:r>
        <w:rPr>
          <w:rFonts w:hint="eastAsia" w:ascii="仿宋_GB2312" w:eastAsia="仿宋_GB2312"/>
          <w:sz w:val="32"/>
          <w:szCs w:val="32"/>
        </w:rPr>
        <w:t>部门预算本级财力安排专项资金及上级提前告知专项资金支出预算表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sectPr>
          <w:pgSz w:w="11906" w:h="16838"/>
          <w:pgMar w:top="1440" w:right="1800" w:bottom="1440" w:left="1800" w:header="851" w:footer="992" w:gutter="0"/>
          <w:pgNumType w:fmt="numberInDash"/>
          <w:cols w:space="425" w:num="1"/>
          <w:docGrid w:type="lines" w:linePitch="312" w:charSpace="0"/>
        </w:sectPr>
      </w:pPr>
    </w:p>
    <w:p/>
    <w:tbl>
      <w:tblPr>
        <w:tblStyle w:val="4"/>
        <w:tblW w:w="13988" w:type="dxa"/>
        <w:jc w:val="center"/>
        <w:tblLayout w:type="fixed"/>
        <w:tblCellMar>
          <w:top w:w="0" w:type="dxa"/>
          <w:left w:w="0" w:type="dxa"/>
          <w:bottom w:w="0" w:type="dxa"/>
          <w:right w:w="0" w:type="dxa"/>
        </w:tblCellMar>
      </w:tblPr>
      <w:tblGrid>
        <w:gridCol w:w="2015"/>
        <w:gridCol w:w="6068"/>
        <w:gridCol w:w="2084"/>
        <w:gridCol w:w="2040"/>
        <w:gridCol w:w="1781"/>
      </w:tblGrid>
      <w:tr>
        <w:tblPrEx>
          <w:tblCellMar>
            <w:top w:w="0" w:type="dxa"/>
            <w:left w:w="0" w:type="dxa"/>
            <w:bottom w:w="0" w:type="dxa"/>
            <w:right w:w="0" w:type="dxa"/>
          </w:tblCellMar>
        </w:tblPrEx>
        <w:trPr>
          <w:trHeight w:val="584" w:hRule="atLeast"/>
          <w:tblHeader/>
          <w:jc w:val="center"/>
        </w:trPr>
        <w:tc>
          <w:tcPr>
            <w:tcW w:w="13988" w:type="dxa"/>
            <w:gridSpan w:val="5"/>
            <w:tcBorders>
              <w:top w:val="nil"/>
              <w:left w:val="nil"/>
              <w:bottom w:val="nil"/>
              <w:right w:val="nil"/>
            </w:tcBorders>
            <w:shd w:val="clear" w:color="auto" w:fill="auto"/>
            <w:noWrap/>
            <w:tcMar>
              <w:top w:w="15" w:type="dxa"/>
              <w:left w:w="15" w:type="dxa"/>
              <w:right w:w="15" w:type="dxa"/>
            </w:tcMar>
            <w:vAlign w:val="center"/>
          </w:tcPr>
          <w:p>
            <w:pPr>
              <w:widowControl/>
              <w:ind w:firstLine="643" w:firstLineChars="200"/>
              <w:jc w:val="center"/>
              <w:textAlignment w:val="center"/>
              <w:rPr>
                <w:rFonts w:ascii="宋体" w:hAnsi="宋体" w:cs="宋体"/>
                <w:b/>
                <w:color w:val="000000"/>
                <w:sz w:val="44"/>
                <w:szCs w:val="44"/>
              </w:rPr>
            </w:pPr>
            <w:bookmarkStart w:id="0" w:name="_GoBack"/>
            <w:bookmarkEnd w:id="0"/>
            <w:r>
              <w:rPr>
                <w:rFonts w:hint="eastAsia" w:ascii="仿宋_GB2312" w:eastAsia="仿宋_GB2312"/>
                <w:b/>
                <w:bCs/>
                <w:sz w:val="32"/>
                <w:szCs w:val="32"/>
              </w:rPr>
              <w:t>2020年</w:t>
            </w:r>
            <w:r>
              <w:rPr>
                <w:rFonts w:hint="eastAsia" w:ascii="仿宋_GB2312" w:eastAsia="仿宋_GB2312"/>
                <w:b/>
                <w:bCs/>
                <w:sz w:val="32"/>
                <w:szCs w:val="32"/>
                <w:lang w:eastAsia="zh-CN"/>
              </w:rPr>
              <w:t>瑞金市</w:t>
            </w:r>
            <w:r>
              <w:rPr>
                <w:rFonts w:hint="eastAsia" w:ascii="仿宋_GB2312" w:eastAsia="仿宋_GB2312"/>
                <w:b/>
                <w:bCs/>
                <w:sz w:val="32"/>
                <w:szCs w:val="32"/>
              </w:rPr>
              <w:t>部门预算本级财力安排专项资金及上级提前告知专项资金支出预算表</w:t>
            </w:r>
          </w:p>
        </w:tc>
      </w:tr>
      <w:tr>
        <w:tblPrEx>
          <w:tblCellMar>
            <w:top w:w="0" w:type="dxa"/>
            <w:left w:w="0" w:type="dxa"/>
            <w:bottom w:w="0" w:type="dxa"/>
            <w:right w:w="0" w:type="dxa"/>
          </w:tblCellMar>
        </w:tblPrEx>
        <w:trPr>
          <w:trHeight w:val="420" w:hRule="atLeast"/>
          <w:tblHeader/>
          <w:jc w:val="center"/>
        </w:trPr>
        <w:tc>
          <w:tcPr>
            <w:tcW w:w="8083"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编制单位:瑞金市财政局</w:t>
            </w:r>
          </w:p>
        </w:tc>
        <w:tc>
          <w:tcPr>
            <w:tcW w:w="2084"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4"/>
              </w:rPr>
            </w:pPr>
          </w:p>
        </w:tc>
        <w:tc>
          <w:tcPr>
            <w:tcW w:w="2040"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4"/>
              </w:rPr>
            </w:pPr>
          </w:p>
        </w:tc>
        <w:tc>
          <w:tcPr>
            <w:tcW w:w="1781"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0" w:type="dxa"/>
            <w:left w:w="0" w:type="dxa"/>
            <w:bottom w:w="0" w:type="dxa"/>
            <w:right w:w="0" w:type="dxa"/>
          </w:tblCellMar>
        </w:tblPrEx>
        <w:trPr>
          <w:trHeight w:val="375" w:hRule="atLeast"/>
          <w:tblHeader/>
          <w:jc w:val="center"/>
        </w:trPr>
        <w:tc>
          <w:tcPr>
            <w:tcW w:w="80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支出功能分类科目</w:t>
            </w:r>
          </w:p>
        </w:tc>
        <w:tc>
          <w:tcPr>
            <w:tcW w:w="590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2020年预算数</w:t>
            </w:r>
          </w:p>
        </w:tc>
      </w:tr>
      <w:tr>
        <w:tblPrEx>
          <w:tblCellMar>
            <w:top w:w="0" w:type="dxa"/>
            <w:left w:w="0" w:type="dxa"/>
            <w:bottom w:w="0" w:type="dxa"/>
            <w:right w:w="0" w:type="dxa"/>
          </w:tblCellMar>
        </w:tblPrEx>
        <w:trPr>
          <w:trHeight w:val="375" w:hRule="atLeast"/>
          <w:tblHeader/>
          <w:jc w:val="center"/>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科目编码</w:t>
            </w:r>
          </w:p>
        </w:tc>
        <w:tc>
          <w:tcPr>
            <w:tcW w:w="6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科目名称 </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合计</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基本支出</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项目支出</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4"/>
              </w:rPr>
            </w:pP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b/>
                <w:color w:val="000000"/>
                <w:kern w:val="0"/>
                <w:sz w:val="24"/>
              </w:rPr>
              <w:t>合计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b/>
                <w:color w:val="000000"/>
                <w:sz w:val="24"/>
              </w:rPr>
            </w:pPr>
            <w:r>
              <w:rPr>
                <w:rFonts w:hint="eastAsia" w:ascii="宋体" w:hAnsi="宋体" w:cs="宋体"/>
                <w:b/>
                <w:color w:val="000000"/>
                <w:kern w:val="0"/>
                <w:sz w:val="24"/>
              </w:rPr>
              <w:t>146,122.76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b/>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b/>
                <w:color w:val="000000"/>
                <w:sz w:val="24"/>
              </w:rPr>
            </w:pPr>
            <w:r>
              <w:rPr>
                <w:rFonts w:hint="eastAsia" w:ascii="宋体" w:hAnsi="宋体" w:cs="宋体"/>
                <w:b/>
                <w:color w:val="000000"/>
                <w:kern w:val="0"/>
                <w:sz w:val="24"/>
              </w:rPr>
              <w:t>146,122.76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一般公共服务支出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6,716.00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6,716.00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政府办公厅（室）及相关机构事务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3,926.00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3,926.00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2010305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专项业务活动</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2010308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信访事务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2010399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其他政府办公厅（室）及相关机构事务支出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2,726.00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2,726.00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发展与改革事务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2010499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其他发展与改革事务支出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06</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2010605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财政国库业务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2010699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其他财政事务支出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税收事务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2010708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协税护税</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审计事务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2010899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其他审计事务支出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10</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人力资源事务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173.00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173.00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2011008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引进人才费用</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2011099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其他人力资源事务支出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商贸事务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2011308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招商引资</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民族事务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2012399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其他民族事务支出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港澳台侨事务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2012599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其他港澳台侨事务支出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党委办公厅（室）及相关机构事务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2013199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其他党委办公厅（室）及相关机构事务支出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宣传事务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2013399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其他宣传事务支出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其他一般公共服务支出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114.00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114.00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2019999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其他一般公共服务支出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114.00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114.00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公共安全支出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2,419.00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2,419.00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公安</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2,189.00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2,189.00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2040299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其他公安支出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2,189.00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2,189.00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法院</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2040504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案件审判</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其他公共安全支出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2049901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其他公共安全支出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教育支出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8,367.66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8,367.66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普通教育</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6,175.00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6,175.00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2050201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学前教育</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2050204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高中教育</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581.00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581.00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2050299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其他普通教育支出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4,988.00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4,988.00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教育费附加安排的支出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2,192.66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2,192.66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2050999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其他教育费附加安排的支出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2,192.66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2,192.66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206</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科学技术支出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266.66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266.66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技术研究与开发</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2060499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其他技术研究与开发支出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科学技术普及</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2060702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科普活动</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其他科学技术支出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2069999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其他科学技术支出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文化旅游体育与传媒支出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4,053.00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4,053.00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文化和旅游</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3,176.00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3,176.00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2070109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群众文化</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2070113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旅游宣传</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2070199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其他文化和旅游支出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2070204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文物保护</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国家电影事业发展专项资金及对应专项债务收入安排的支出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2070799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其他国家电影事业发展专项资金支出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其他文化旅游体育与传媒支出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2079903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文化产业发展专项支出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社会保障和就业支出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37,463.41</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37,463.41</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行政事业单位养老支出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4,968.70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4,968.70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2080505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机关事业单位基本养老保险缴费支出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2080506</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机关事业单位职业年金缴费支出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451.70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451.70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2080507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对机关事业单位基本养老保险基金的补助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1,917.00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1,917.00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就业补助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1,829.00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1,829.00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2080799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其他就业补助支出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1,829.00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1,829.00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抚恤</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10,766.00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10,766.00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2080899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其他优抚支出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10,766.00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10,766.00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退役安置</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1,212.66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1,212.66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2080901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退役士兵安置</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1,212.66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1,212.66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10</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社会福利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3,236.38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3,236.38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2081001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儿童福利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334.80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334.80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2081002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老年福利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1,691.40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1,691.40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2081004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殡葬</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670.84</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670.84</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2081005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社会福利事业单位</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529.16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529.16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2081099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其他社会福利支出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10.18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10.18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残疾人事业</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810.38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810.38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2081104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残疾人康复</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77.00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77.00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2081107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残疾人生活和护理补贴</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733.38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733.38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最低生活保障</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3,605.11</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3,605.11</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2081901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城市最低生活保障金支出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859.80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859.80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2081902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农村最低生活保障金支出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2,745.31</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2,745.31</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临时救助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2082001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临时救助支出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265.00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特困人员救助供养</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982.95</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982.95</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2082102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农村特困人员救助供养支出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982.95</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982.95</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补充道路交通事故社会救助基金</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2082402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交强险罚款收入补助基金支出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其他生活救助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109.52</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109.52</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2082501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其他城市生活救助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59.52</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59.52</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2082502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其他农村生活救助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26</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财政对基本养老保险基金的补助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1,593.58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1,593.58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2082602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财政对城乡居民基本养老保险基金的补助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1,593.58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1,593.58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财政对其他社会保险基金的补助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2082702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财政对工伤保险基金的补助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其他社会保障和就业支出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7,971.13</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7,971.13</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2089901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其他社会保障和就业支出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7,971.13</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7,971.13</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210</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卫生健康支出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16,298.84</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16,298.84</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卫生健康管理事务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2100199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其他卫生健康管理事务支出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公立医院</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610.00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610.00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2100299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其他公立医院支出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610.00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610.00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基层医疗卫生机构</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2100399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其他基层医疗卫生机构支出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公共卫生</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1,264.36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1,264.36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2100401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疾病预防控制机构</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2100403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妇幼保健机构</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170.50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170.50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2100408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基本公共卫生服务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152.86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152.86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2100410</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突发公共卫生事件应急处理</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2100499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其他公共卫生支出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191.00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06</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中医药</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2100601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中医（民族医）药专项</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计划生育事务</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693.00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693.00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2100799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其他计划生育事务支出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693.00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693.00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财政对基本医疗保险基金的补助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8,868.48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8,868.48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2101201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财政对职工基本医疗保险基金的补助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3,104.80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3,104.80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2101202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财政对城乡居民基本医疗保险基金的补助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5,763.68</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5,763.68</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医疗救助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2101301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城乡医疗救助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其他医疗卫生与计划生育支出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4,140.00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4,140.00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2109901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其他医疗卫生与计划生育支出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4,140.00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4,140.00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节能环保支出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污染防治</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2110399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其他污染防治支出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城乡社区支出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8,304.53</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8,304.53</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城乡社区规划与管理</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2120201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城乡社区规划与管理</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城乡社区环境卫生</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7,304.53</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7,304.53</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2120501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城乡社区环境卫生</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7,304.53</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7,304.53</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农林水支出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32,669.56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32,669.56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农业农村</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84.00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84.00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2130142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农村道路建设</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84.00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84.00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水利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2,880.00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2,880.00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2130399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其他水利支出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2,880.00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2,880.00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扶贫</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13,536.00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13,536.00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2130599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其他扶贫支出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13,536.00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13,536.00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农村综合改革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10,106.56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10,106.56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2130701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对村级一事一议的补助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1,070.00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1,070.00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2130705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对村民委员会和村党支部的补助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991.56</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991.56</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2130799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其他农村综合改革支出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8,045.00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8,045.00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普惠金融发展支出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1,698.00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1,698.00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2130801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支持农村金融机构</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2130803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农业保险保费补贴</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797.00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797.00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2130804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创业担保贷款贴息</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891.00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891.00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其他农林水支出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4,365.00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4,365.00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2139999</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其他农林水支出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4,365.00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4,365.00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资源勘探工业信息等支出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支持中小企业发展和管理支出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2150805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中小企业发展专项</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221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住房保障支出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7,519.00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7,519.00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保障性安居工程支出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7,519.00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7,519.00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2210105</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农村危房改造</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166.00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166.00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2210106</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公共租赁住房</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6,992.00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6,992.00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2210108</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老旧小区改造</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361.00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361.00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224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灾害防治及应急管理支出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2,360.00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2,360.00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06</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自然灾害防治</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740.00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740.00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2240601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地质灾害防治</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740.00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740.00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自然灾害救灾及恢复重建支出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1,620.00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1,620.00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2240702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地方自然灾害救灾补助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420.00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420.00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2240704</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自然灾害灾后重建补助</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1,200.00</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1,200.00</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227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预备费</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3,054.39</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3,054.39</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227</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预备费</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3,054.39</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3,054.39</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232</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债务付息支出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6,230.71</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6,230.71</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地方政府一般债务付息支出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6,230.71</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6,230.71</w:t>
            </w:r>
          </w:p>
        </w:tc>
      </w:tr>
      <w:tr>
        <w:tblPrEx>
          <w:tblCellMar>
            <w:top w:w="0" w:type="dxa"/>
            <w:left w:w="0" w:type="dxa"/>
            <w:bottom w:w="0" w:type="dxa"/>
            <w:right w:w="0" w:type="dxa"/>
          </w:tblCellMar>
        </w:tblPrEx>
        <w:trPr>
          <w:trHeight w:val="375" w:hRule="atLeast"/>
          <w:jc w:val="center"/>
        </w:trPr>
        <w:tc>
          <w:tcPr>
            <w:tcW w:w="20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2320301</w:t>
            </w:r>
          </w:p>
        </w:tc>
        <w:tc>
          <w:tcPr>
            <w:tcW w:w="60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地方政府一般债券付息支出</w:t>
            </w:r>
          </w:p>
        </w:tc>
        <w:tc>
          <w:tcPr>
            <w:tcW w:w="20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6,230.71</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宋体" w:hAnsi="宋体" w:cs="宋体"/>
                <w:color w:val="000000"/>
                <w:sz w:val="24"/>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6,230.71</w:t>
            </w:r>
          </w:p>
        </w:tc>
      </w:tr>
    </w:tbl>
    <w:p/>
    <w:sectPr>
      <w:pgSz w:w="16838" w:h="11906" w:orient="landscape"/>
      <w:pgMar w:top="1440" w:right="1440" w:bottom="1440"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307DDF"/>
    <w:rsid w:val="000621ED"/>
    <w:rsid w:val="00C04101"/>
    <w:rsid w:val="00D37120"/>
    <w:rsid w:val="01DD3735"/>
    <w:rsid w:val="03020BD0"/>
    <w:rsid w:val="03282C06"/>
    <w:rsid w:val="05D93B2C"/>
    <w:rsid w:val="08294960"/>
    <w:rsid w:val="099E583A"/>
    <w:rsid w:val="09CD7B03"/>
    <w:rsid w:val="0B2030E1"/>
    <w:rsid w:val="0CBB5184"/>
    <w:rsid w:val="0D344956"/>
    <w:rsid w:val="1056473C"/>
    <w:rsid w:val="10FC546C"/>
    <w:rsid w:val="10FD62FA"/>
    <w:rsid w:val="113F5F69"/>
    <w:rsid w:val="129C66E6"/>
    <w:rsid w:val="12C23B7E"/>
    <w:rsid w:val="148F792D"/>
    <w:rsid w:val="153E00A4"/>
    <w:rsid w:val="16A54CA2"/>
    <w:rsid w:val="170C7BFF"/>
    <w:rsid w:val="18C019FD"/>
    <w:rsid w:val="19496005"/>
    <w:rsid w:val="1BB87F81"/>
    <w:rsid w:val="1E447BFA"/>
    <w:rsid w:val="20E47521"/>
    <w:rsid w:val="228561A8"/>
    <w:rsid w:val="2337720B"/>
    <w:rsid w:val="239A0454"/>
    <w:rsid w:val="239F4BD6"/>
    <w:rsid w:val="246C7BFA"/>
    <w:rsid w:val="24917CAB"/>
    <w:rsid w:val="265E78B2"/>
    <w:rsid w:val="269F59DD"/>
    <w:rsid w:val="26AD3380"/>
    <w:rsid w:val="29C06563"/>
    <w:rsid w:val="2A307DDF"/>
    <w:rsid w:val="2B70517B"/>
    <w:rsid w:val="2B7A5D39"/>
    <w:rsid w:val="2BEC4257"/>
    <w:rsid w:val="2BEF2AFB"/>
    <w:rsid w:val="2BF50441"/>
    <w:rsid w:val="2DB36A7D"/>
    <w:rsid w:val="2E9320C2"/>
    <w:rsid w:val="2EB336CC"/>
    <w:rsid w:val="2FC73477"/>
    <w:rsid w:val="30C72E97"/>
    <w:rsid w:val="30E47DA6"/>
    <w:rsid w:val="36160A82"/>
    <w:rsid w:val="36CA0118"/>
    <w:rsid w:val="3794057E"/>
    <w:rsid w:val="37C50895"/>
    <w:rsid w:val="3A22290F"/>
    <w:rsid w:val="3BC01B82"/>
    <w:rsid w:val="3C553AD3"/>
    <w:rsid w:val="3C9224D1"/>
    <w:rsid w:val="3EA06FDC"/>
    <w:rsid w:val="3EE24080"/>
    <w:rsid w:val="3FD00CF6"/>
    <w:rsid w:val="41ED64F2"/>
    <w:rsid w:val="44F50B6C"/>
    <w:rsid w:val="45400A4B"/>
    <w:rsid w:val="48F554EB"/>
    <w:rsid w:val="4C662D72"/>
    <w:rsid w:val="4E05509C"/>
    <w:rsid w:val="4F996ABB"/>
    <w:rsid w:val="4F9B6C9E"/>
    <w:rsid w:val="51A82E97"/>
    <w:rsid w:val="57B35BBC"/>
    <w:rsid w:val="58277495"/>
    <w:rsid w:val="596737A6"/>
    <w:rsid w:val="5BA77CAB"/>
    <w:rsid w:val="5E0F3A6F"/>
    <w:rsid w:val="5E8B41B7"/>
    <w:rsid w:val="5E935397"/>
    <w:rsid w:val="5F590AE0"/>
    <w:rsid w:val="60AC6C25"/>
    <w:rsid w:val="60B20474"/>
    <w:rsid w:val="619E657D"/>
    <w:rsid w:val="62214612"/>
    <w:rsid w:val="63DE1149"/>
    <w:rsid w:val="645206BA"/>
    <w:rsid w:val="6458596F"/>
    <w:rsid w:val="651E2F31"/>
    <w:rsid w:val="664E54DB"/>
    <w:rsid w:val="67BC3C5D"/>
    <w:rsid w:val="698C1928"/>
    <w:rsid w:val="69F27D2A"/>
    <w:rsid w:val="6A06500D"/>
    <w:rsid w:val="6B327685"/>
    <w:rsid w:val="6CBE1F86"/>
    <w:rsid w:val="6D425C10"/>
    <w:rsid w:val="6D9E666A"/>
    <w:rsid w:val="6E7362FE"/>
    <w:rsid w:val="70E50D86"/>
    <w:rsid w:val="7119471D"/>
    <w:rsid w:val="71ED6BC5"/>
    <w:rsid w:val="71EF1EE5"/>
    <w:rsid w:val="727E6CC9"/>
    <w:rsid w:val="73ED0107"/>
    <w:rsid w:val="743C6FD0"/>
    <w:rsid w:val="74D077E5"/>
    <w:rsid w:val="755E20FE"/>
    <w:rsid w:val="78A7738C"/>
    <w:rsid w:val="78F83390"/>
    <w:rsid w:val="79515930"/>
    <w:rsid w:val="7C5D43E6"/>
    <w:rsid w:val="7E04457D"/>
    <w:rsid w:val="7F7D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51"/>
    <w:basedOn w:val="5"/>
    <w:qFormat/>
    <w:uiPriority w:val="0"/>
    <w:rPr>
      <w:rFonts w:hint="eastAsia" w:ascii="宋体" w:hAnsi="宋体" w:eastAsia="宋体" w:cs="宋体"/>
      <w:color w:val="000000"/>
      <w:sz w:val="22"/>
      <w:szCs w:val="22"/>
      <w:u w:val="none"/>
    </w:rPr>
  </w:style>
  <w:style w:type="character" w:customStyle="1" w:styleId="7">
    <w:name w:val="font01"/>
    <w:basedOn w:val="5"/>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2599</Words>
  <Characters>14815</Characters>
  <Lines>123</Lines>
  <Paragraphs>34</Paragraphs>
  <TotalTime>2</TotalTime>
  <ScaleCrop>false</ScaleCrop>
  <LinksUpToDate>false</LinksUpToDate>
  <CharactersWithSpaces>17380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2019-02-15T09:58:00Z</dcterms:created>
  <dc:creator>Administrator</dc:creator>
  <cp:lastModifiedBy>大力水手1380016461</cp:lastModifiedBy>
  <cp:lastPrinted>2020-06-28T02:55:00Z</cp:lastPrinted>
  <dcterms:modified xsi:type="dcterms:W3CDTF">2020-06-28T04:00:26Z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