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00" w:beforeAutospacing="0" w:after="100" w:afterAutospacing="0" w:line="500" w:lineRule="exact"/>
        <w:ind w:firstLine="723" w:firstLineChars="200"/>
        <w:jc w:val="both"/>
        <w:textAlignment w:val="auto"/>
        <w:rPr>
          <w:rFonts w:hint="eastAsia" w:asciiTheme="majorEastAsia" w:hAnsiTheme="majorEastAsia" w:eastAsiaTheme="majorEastAsia" w:cstheme="majorEastAsia"/>
          <w:b/>
          <w:bCs/>
          <w:i w:val="0"/>
          <w:caps w:val="0"/>
          <w:color w:val="auto"/>
          <w:spacing w:val="0"/>
          <w:kern w:val="0"/>
          <w:sz w:val="36"/>
          <w:szCs w:val="36"/>
          <w:shd w:val="clear" w:fill="FFFFFF"/>
          <w:lang w:val="en-US" w:eastAsia="zh-CN" w:bidi="ar"/>
        </w:rPr>
      </w:pPr>
      <w:r>
        <w:rPr>
          <w:rFonts w:hint="eastAsia" w:asciiTheme="majorEastAsia" w:hAnsiTheme="majorEastAsia" w:eastAsiaTheme="majorEastAsia" w:cstheme="majorEastAsia"/>
          <w:b/>
          <w:bCs/>
          <w:i w:val="0"/>
          <w:caps w:val="0"/>
          <w:color w:val="auto"/>
          <w:spacing w:val="0"/>
          <w:kern w:val="0"/>
          <w:sz w:val="36"/>
          <w:szCs w:val="36"/>
          <w:shd w:val="clear" w:fill="FFFFFF"/>
          <w:lang w:val="en-US" w:eastAsia="zh-CN" w:bidi="ar"/>
        </w:rPr>
        <w:t>赣州市医疗保障局瑞金分局业务办理办事指南</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500" w:lineRule="exact"/>
        <w:ind w:firstLine="723" w:firstLineChars="200"/>
        <w:jc w:val="both"/>
        <w:textAlignment w:val="auto"/>
        <w:rPr>
          <w:rFonts w:hint="eastAsia" w:asciiTheme="majorEastAsia" w:hAnsiTheme="majorEastAsia" w:eastAsiaTheme="majorEastAsia" w:cstheme="majorEastAsia"/>
          <w:b/>
          <w:bCs/>
          <w:i w:val="0"/>
          <w:caps w:val="0"/>
          <w:color w:val="auto"/>
          <w:spacing w:val="0"/>
          <w:kern w:val="0"/>
          <w:sz w:val="36"/>
          <w:szCs w:val="36"/>
          <w:shd w:val="clear" w:fill="FFFFFF"/>
          <w:lang w:val="en-US" w:eastAsia="zh-CN" w:bidi="ar"/>
        </w:rPr>
      </w:pPr>
    </w:p>
    <w:p>
      <w:pPr>
        <w:keepNext w:val="0"/>
        <w:keepLines w:val="0"/>
        <w:pageBreakBefore w:val="0"/>
        <w:widowControl/>
        <w:kinsoku/>
        <w:wordWrap/>
        <w:overflowPunct/>
        <w:topLinePunct w:val="0"/>
        <w:autoSpaceDE/>
        <w:autoSpaceDN/>
        <w:bidi w:val="0"/>
        <w:adjustRightInd/>
        <w:snapToGrid/>
        <w:spacing w:before="100" w:beforeAutospacing="0" w:after="100" w:afterAutospacing="0" w:line="500" w:lineRule="exact"/>
        <w:ind w:firstLine="562" w:firstLineChars="200"/>
        <w:jc w:val="both"/>
        <w:textAlignment w:val="auto"/>
        <w:rPr>
          <w:rFonts w:hint="eastAsia" w:ascii="宋体" w:hAnsi="宋体" w:cs="宋体"/>
          <w:b w:val="0"/>
          <w:bCs w:val="0"/>
          <w:color w:val="auto"/>
          <w:sz w:val="28"/>
          <w:szCs w:val="28"/>
          <w:lang w:val="en-US" w:eastAsia="zh-CN"/>
        </w:rPr>
      </w:pPr>
      <w:r>
        <w:rPr>
          <w:rFonts w:hint="eastAsia" w:ascii="宋体" w:hAnsi="宋体" w:cs="宋体"/>
          <w:b/>
          <w:bCs/>
          <w:color w:val="auto"/>
          <w:sz w:val="28"/>
          <w:szCs w:val="28"/>
          <w:lang w:val="en-US" w:eastAsia="zh-CN"/>
        </w:rPr>
        <w:t>一、服务内容：</w:t>
      </w:r>
      <w:r>
        <w:rPr>
          <w:rFonts w:hint="eastAsia" w:ascii="宋体" w:hAnsi="宋体" w:cs="宋体"/>
          <w:b w:val="0"/>
          <w:bCs w:val="0"/>
          <w:color w:val="auto"/>
          <w:sz w:val="28"/>
          <w:szCs w:val="28"/>
          <w:lang w:val="en-US" w:eastAsia="zh-CN"/>
        </w:rPr>
        <w:t>异地长期居住人员备案</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left="560" w:hanging="562" w:hangingChars="200"/>
        <w:textAlignment w:val="auto"/>
        <w:outlineLvl w:val="9"/>
        <w:rPr>
          <w:rFonts w:hint="eastAsia" w:asciiTheme="majorEastAsia" w:hAnsiTheme="majorEastAsia" w:eastAsiaTheme="majorEastAsia" w:cstheme="majorEastAsia"/>
          <w:color w:val="auto"/>
          <w:sz w:val="28"/>
          <w:szCs w:val="28"/>
          <w:lang w:val="en-US" w:eastAsia="zh-CN"/>
        </w:rPr>
      </w:pPr>
      <w:r>
        <w:rPr>
          <w:rFonts w:hint="eastAsia" w:asciiTheme="majorEastAsia" w:hAnsiTheme="majorEastAsia" w:eastAsiaTheme="majorEastAsia" w:cstheme="majorEastAsia"/>
          <w:b/>
          <w:bCs/>
          <w:color w:val="auto"/>
          <w:sz w:val="28"/>
          <w:szCs w:val="28"/>
          <w:lang w:val="en-US" w:eastAsia="zh-CN"/>
        </w:rPr>
        <w:t xml:space="preserve">    二、办事流程</w:t>
      </w:r>
      <w:r>
        <w:rPr>
          <w:rFonts w:hint="eastAsia" w:asciiTheme="majorEastAsia" w:hAnsiTheme="majorEastAsia" w:eastAsiaTheme="majorEastAsia" w:cstheme="majorEastAsia"/>
          <w:color w:val="auto"/>
          <w:sz w:val="28"/>
          <w:szCs w:val="28"/>
          <w:lang w:val="en-US" w:eastAsia="zh-CN"/>
        </w:rPr>
        <w:t>：申请人提交申请材料→受理→审核→办结</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00" w:lineRule="exact"/>
        <w:ind w:left="559" w:leftChars="266" w:firstLine="0" w:firstLineChars="0"/>
        <w:textAlignment w:val="auto"/>
        <w:outlineLvl w:val="9"/>
        <w:rPr>
          <w:rFonts w:hint="eastAsia" w:asciiTheme="majorEastAsia" w:hAnsiTheme="majorEastAsia" w:eastAsiaTheme="majorEastAsia" w:cstheme="majorEastAsia"/>
          <w:b w:val="0"/>
          <w:bCs w:val="0"/>
          <w:color w:val="auto"/>
          <w:sz w:val="28"/>
          <w:szCs w:val="28"/>
          <w:lang w:val="en-US" w:eastAsia="zh-CN"/>
        </w:rPr>
      </w:pPr>
      <w:r>
        <w:rPr>
          <w:rFonts w:hint="eastAsia" w:asciiTheme="majorEastAsia" w:hAnsiTheme="majorEastAsia" w:eastAsiaTheme="majorEastAsia" w:cstheme="majorEastAsia"/>
          <w:b/>
          <w:bCs/>
          <w:color w:val="auto"/>
          <w:sz w:val="28"/>
          <w:szCs w:val="28"/>
          <w:lang w:val="en-US" w:eastAsia="zh-CN"/>
        </w:rPr>
        <w:t>申报材料</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00" w:lineRule="exact"/>
        <w:ind w:leftChars="266"/>
        <w:textAlignment w:val="auto"/>
        <w:outlineLvl w:val="9"/>
        <w:rPr>
          <w:rFonts w:hint="eastAsia" w:asciiTheme="majorEastAsia" w:hAnsiTheme="majorEastAsia" w:eastAsiaTheme="majorEastAsia" w:cstheme="majorEastAsia"/>
          <w:b w:val="0"/>
          <w:bCs w:val="0"/>
          <w:color w:val="auto"/>
          <w:sz w:val="28"/>
          <w:szCs w:val="28"/>
          <w:lang w:val="en-US" w:eastAsia="zh-CN"/>
        </w:rPr>
      </w:pPr>
      <w:r>
        <w:rPr>
          <w:rFonts w:hint="eastAsia" w:asciiTheme="majorEastAsia" w:hAnsiTheme="majorEastAsia" w:eastAsiaTheme="majorEastAsia" w:cstheme="majorEastAsia"/>
          <w:b w:val="0"/>
          <w:bCs w:val="0"/>
          <w:color w:val="auto"/>
          <w:sz w:val="28"/>
          <w:szCs w:val="28"/>
          <w:lang w:val="en-US" w:eastAsia="zh-CN"/>
        </w:rPr>
        <w:t>医保电子凭证或有效身份证件或社保卡；</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00" w:lineRule="exact"/>
        <w:ind w:leftChars="266"/>
        <w:textAlignment w:val="auto"/>
        <w:outlineLvl w:val="9"/>
        <w:rPr>
          <w:rFonts w:hint="eastAsia" w:asciiTheme="majorEastAsia" w:hAnsiTheme="majorEastAsia" w:eastAsiaTheme="majorEastAsia" w:cstheme="majorEastAsia"/>
          <w:b w:val="0"/>
          <w:bCs w:val="0"/>
          <w:color w:val="auto"/>
          <w:sz w:val="28"/>
          <w:szCs w:val="28"/>
          <w:lang w:val="en-US" w:eastAsia="zh-CN"/>
        </w:rPr>
      </w:pPr>
      <w:r>
        <w:rPr>
          <w:rFonts w:hint="eastAsia" w:asciiTheme="majorEastAsia" w:hAnsiTheme="majorEastAsia" w:eastAsiaTheme="majorEastAsia" w:cstheme="majorEastAsia"/>
          <w:b w:val="0"/>
          <w:bCs w:val="0"/>
          <w:color w:val="auto"/>
          <w:sz w:val="28"/>
          <w:szCs w:val="28"/>
          <w:lang w:val="en-US" w:eastAsia="zh-CN"/>
        </w:rPr>
        <w:t>《江西省异地就医登记备案表》；</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00" w:lineRule="exact"/>
        <w:ind w:leftChars="266"/>
        <w:textAlignment w:val="auto"/>
        <w:outlineLvl w:val="9"/>
        <w:rPr>
          <w:rFonts w:hint="eastAsia" w:asciiTheme="majorEastAsia" w:hAnsiTheme="majorEastAsia" w:eastAsiaTheme="majorEastAsia" w:cstheme="majorEastAsia"/>
          <w:b w:val="0"/>
          <w:bCs w:val="0"/>
          <w:color w:val="auto"/>
          <w:sz w:val="28"/>
          <w:szCs w:val="28"/>
          <w:lang w:val="en-US" w:eastAsia="zh-CN"/>
        </w:rPr>
      </w:pPr>
      <w:r>
        <w:rPr>
          <w:rFonts w:hint="eastAsia" w:asciiTheme="majorEastAsia" w:hAnsiTheme="majorEastAsia" w:eastAsiaTheme="majorEastAsia" w:cstheme="majorEastAsia"/>
          <w:b w:val="0"/>
          <w:bCs w:val="0"/>
          <w:color w:val="auto"/>
          <w:sz w:val="28"/>
          <w:szCs w:val="28"/>
          <w:lang w:val="en-US" w:eastAsia="zh-CN"/>
        </w:rPr>
        <w:t>个人承诺书。</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textAlignment w:val="auto"/>
        <w:outlineLvl w:val="9"/>
        <w:rPr>
          <w:rFonts w:hint="eastAsia" w:asciiTheme="majorEastAsia" w:hAnsiTheme="majorEastAsia" w:eastAsiaTheme="majorEastAsia" w:cstheme="majorEastAsia"/>
          <w:b w:val="0"/>
          <w:bCs w:val="0"/>
          <w:color w:val="auto"/>
          <w:sz w:val="28"/>
          <w:szCs w:val="28"/>
          <w:lang w:val="en-US" w:eastAsia="zh-CN"/>
        </w:rPr>
      </w:pPr>
      <w:r>
        <w:rPr>
          <w:rFonts w:hint="eastAsia" w:asciiTheme="majorEastAsia" w:hAnsiTheme="majorEastAsia" w:eastAsiaTheme="majorEastAsia" w:cstheme="majorEastAsia"/>
          <w:b w:val="0"/>
          <w:bCs w:val="0"/>
          <w:color w:val="auto"/>
          <w:sz w:val="28"/>
          <w:szCs w:val="28"/>
          <w:lang w:val="en-US" w:eastAsia="zh-CN"/>
        </w:rPr>
        <w:t>（备注：有条件的可采用邮箱、网络、APP等“不见面”备案）</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00" w:lineRule="exact"/>
        <w:ind w:left="559" w:leftChars="266" w:right="-197" w:rightChars="-94" w:firstLine="0" w:firstLineChars="0"/>
        <w:textAlignment w:val="auto"/>
        <w:rPr>
          <w:rFonts w:hint="eastAsia" w:asciiTheme="majorEastAsia" w:hAnsiTheme="majorEastAsia" w:eastAsiaTheme="majorEastAsia" w:cstheme="majorEastAsia"/>
          <w:b/>
          <w:bCs/>
          <w:color w:val="auto"/>
          <w:sz w:val="28"/>
          <w:szCs w:val="28"/>
          <w:lang w:eastAsia="zh-CN"/>
        </w:rPr>
      </w:pPr>
      <w:r>
        <w:rPr>
          <w:rFonts w:hint="eastAsia" w:asciiTheme="majorEastAsia" w:hAnsiTheme="majorEastAsia" w:eastAsiaTheme="majorEastAsia" w:cstheme="majorEastAsia"/>
          <w:b/>
          <w:bCs/>
          <w:color w:val="auto"/>
          <w:sz w:val="28"/>
          <w:szCs w:val="28"/>
          <w:lang w:eastAsia="zh-CN"/>
        </w:rPr>
        <w:t>法律依据</w:t>
      </w:r>
    </w:p>
    <w:p>
      <w:pPr>
        <w:keepNext w:val="0"/>
        <w:keepLines w:val="0"/>
        <w:pageBreakBefore w:val="0"/>
        <w:widowControl w:val="0"/>
        <w:numPr>
          <w:numId w:val="0"/>
        </w:numPr>
        <w:kinsoku/>
        <w:wordWrap/>
        <w:overflowPunct/>
        <w:topLinePunct w:val="0"/>
        <w:autoSpaceDE/>
        <w:autoSpaceDN/>
        <w:bidi w:val="0"/>
        <w:adjustRightInd/>
        <w:snapToGrid/>
        <w:spacing w:beforeAutospacing="0" w:afterAutospacing="0" w:line="500" w:lineRule="exact"/>
        <w:ind w:right="-197" w:rightChars="-94" w:firstLine="560" w:firstLineChars="200"/>
        <w:textAlignment w:val="auto"/>
        <w:rPr>
          <w:rFonts w:hint="eastAsia" w:asciiTheme="majorEastAsia" w:hAnsiTheme="majorEastAsia" w:eastAsiaTheme="majorEastAsia" w:cstheme="majorEastAsia"/>
          <w:b w:val="0"/>
          <w:bCs w:val="0"/>
          <w:color w:val="auto"/>
          <w:sz w:val="28"/>
          <w:szCs w:val="28"/>
          <w:lang w:val="en-US" w:eastAsia="zh-CN"/>
        </w:rPr>
      </w:pPr>
      <w:r>
        <w:rPr>
          <w:rFonts w:hint="default" w:asciiTheme="majorEastAsia" w:hAnsiTheme="majorEastAsia" w:eastAsiaTheme="majorEastAsia" w:cstheme="majorEastAsia"/>
          <w:b w:val="0"/>
          <w:bCs w:val="0"/>
          <w:color w:val="auto"/>
          <w:sz w:val="28"/>
          <w:szCs w:val="28"/>
          <w:lang w:val="en-US" w:eastAsia="zh-CN"/>
        </w:rPr>
        <w:t>1</w:t>
      </w:r>
      <w:r>
        <w:rPr>
          <w:rFonts w:hint="eastAsia" w:asciiTheme="majorEastAsia" w:hAnsiTheme="majorEastAsia" w:eastAsiaTheme="majorEastAsia" w:cstheme="majorEastAsia"/>
          <w:b w:val="0"/>
          <w:bCs w:val="0"/>
          <w:color w:val="auto"/>
          <w:sz w:val="28"/>
          <w:szCs w:val="28"/>
          <w:lang w:val="en-US" w:eastAsia="zh-CN"/>
        </w:rPr>
        <w:t>、《人力资源和社会保障部 财政部关于做好基本医疗保险跨省异地就医住院医疗费用直接结算工作的通知》（人社部发〔2016〕120号）；</w:t>
      </w:r>
    </w:p>
    <w:p>
      <w:pPr>
        <w:keepNext w:val="0"/>
        <w:keepLines w:val="0"/>
        <w:pageBreakBefore w:val="0"/>
        <w:widowControl w:val="0"/>
        <w:numPr>
          <w:numId w:val="0"/>
        </w:numPr>
        <w:kinsoku/>
        <w:wordWrap/>
        <w:overflowPunct/>
        <w:topLinePunct w:val="0"/>
        <w:autoSpaceDE/>
        <w:autoSpaceDN/>
        <w:bidi w:val="0"/>
        <w:adjustRightInd/>
        <w:snapToGrid/>
        <w:spacing w:beforeAutospacing="0" w:afterAutospacing="0" w:line="500" w:lineRule="exact"/>
        <w:ind w:right="-197" w:rightChars="-94" w:firstLine="560" w:firstLineChars="200"/>
        <w:textAlignment w:val="auto"/>
        <w:rPr>
          <w:rFonts w:hint="eastAsia" w:asciiTheme="majorEastAsia" w:hAnsiTheme="majorEastAsia" w:eastAsiaTheme="majorEastAsia" w:cstheme="majorEastAsia"/>
          <w:b w:val="0"/>
          <w:bCs w:val="0"/>
          <w:color w:val="auto"/>
          <w:sz w:val="28"/>
          <w:szCs w:val="28"/>
          <w:lang w:val="en-US" w:eastAsia="zh-CN"/>
        </w:rPr>
      </w:pPr>
      <w:r>
        <w:rPr>
          <w:rFonts w:hint="default" w:asciiTheme="majorEastAsia" w:hAnsiTheme="majorEastAsia" w:eastAsiaTheme="majorEastAsia" w:cstheme="majorEastAsia"/>
          <w:b w:val="0"/>
          <w:bCs w:val="0"/>
          <w:color w:val="auto"/>
          <w:sz w:val="28"/>
          <w:szCs w:val="28"/>
          <w:lang w:val="en-US" w:eastAsia="zh-CN"/>
        </w:rPr>
        <w:t>2</w:t>
      </w:r>
      <w:r>
        <w:rPr>
          <w:rFonts w:hint="eastAsia" w:asciiTheme="majorEastAsia" w:hAnsiTheme="majorEastAsia" w:eastAsiaTheme="majorEastAsia" w:cstheme="majorEastAsia"/>
          <w:b w:val="0"/>
          <w:bCs w:val="0"/>
          <w:color w:val="auto"/>
          <w:sz w:val="28"/>
          <w:szCs w:val="28"/>
          <w:lang w:val="en-US" w:eastAsia="zh-CN"/>
        </w:rPr>
        <w:t>、《国家医保局 财政部关于切实做好2019年跨省异地就医住院费用直接结算工作的通知》(医保发〔2019〕33号 )；</w:t>
      </w:r>
    </w:p>
    <w:p>
      <w:pPr>
        <w:keepNext w:val="0"/>
        <w:keepLines w:val="0"/>
        <w:pageBreakBefore w:val="0"/>
        <w:widowControl w:val="0"/>
        <w:numPr>
          <w:numId w:val="0"/>
        </w:numPr>
        <w:kinsoku/>
        <w:wordWrap/>
        <w:overflowPunct/>
        <w:topLinePunct w:val="0"/>
        <w:autoSpaceDE/>
        <w:autoSpaceDN/>
        <w:bidi w:val="0"/>
        <w:adjustRightInd/>
        <w:snapToGrid/>
        <w:spacing w:beforeAutospacing="0" w:afterAutospacing="0" w:line="500" w:lineRule="exact"/>
        <w:ind w:right="-197" w:rightChars="-94" w:firstLine="560" w:firstLineChars="200"/>
        <w:textAlignment w:val="auto"/>
        <w:rPr>
          <w:rFonts w:hint="eastAsia" w:asciiTheme="majorEastAsia" w:hAnsiTheme="majorEastAsia" w:eastAsiaTheme="majorEastAsia" w:cstheme="majorEastAsia"/>
          <w:b w:val="0"/>
          <w:bCs w:val="0"/>
          <w:color w:val="auto"/>
          <w:sz w:val="28"/>
          <w:szCs w:val="28"/>
          <w:lang w:val="en-US" w:eastAsia="zh-CN"/>
        </w:rPr>
      </w:pPr>
      <w:r>
        <w:rPr>
          <w:rFonts w:hint="default" w:asciiTheme="majorEastAsia" w:hAnsiTheme="majorEastAsia" w:eastAsiaTheme="majorEastAsia" w:cstheme="majorEastAsia"/>
          <w:b w:val="0"/>
          <w:bCs w:val="0"/>
          <w:color w:val="auto"/>
          <w:sz w:val="28"/>
          <w:szCs w:val="28"/>
          <w:lang w:val="en-US" w:eastAsia="zh-CN"/>
        </w:rPr>
        <w:t>3</w:t>
      </w:r>
      <w:r>
        <w:rPr>
          <w:rFonts w:hint="eastAsia" w:asciiTheme="majorEastAsia" w:hAnsiTheme="majorEastAsia" w:eastAsiaTheme="majorEastAsia" w:cstheme="majorEastAsia"/>
          <w:b w:val="0"/>
          <w:bCs w:val="0"/>
          <w:color w:val="auto"/>
          <w:sz w:val="28"/>
          <w:szCs w:val="28"/>
          <w:lang w:val="en-US" w:eastAsia="zh-CN"/>
        </w:rPr>
        <w:t>、《关于建立基本医疗保险跨省异地就医结算业务协同管理工作机制的通知》(医保办发〔2019〕33号）。</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197" w:rightChars="-94" w:firstLine="562" w:firstLineChars="200"/>
        <w:textAlignment w:val="auto"/>
        <w:rPr>
          <w:rFonts w:hint="eastAsia" w:asciiTheme="majorEastAsia" w:hAnsiTheme="majorEastAsia" w:eastAsiaTheme="majorEastAsia" w:cstheme="majorEastAsia"/>
          <w:color w:val="auto"/>
          <w:sz w:val="28"/>
          <w:szCs w:val="28"/>
          <w:lang w:val="en-US" w:eastAsia="zh-CN"/>
        </w:rPr>
      </w:pPr>
      <w:r>
        <w:rPr>
          <w:rFonts w:hint="eastAsia" w:asciiTheme="majorEastAsia" w:hAnsiTheme="majorEastAsia" w:eastAsiaTheme="majorEastAsia" w:cstheme="majorEastAsia"/>
          <w:b/>
          <w:bCs/>
          <w:color w:val="auto"/>
          <w:sz w:val="28"/>
          <w:szCs w:val="28"/>
          <w:lang w:eastAsia="zh-CN"/>
        </w:rPr>
        <w:t>五、办理期限</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197" w:rightChars="-94" w:firstLine="562" w:firstLineChars="200"/>
        <w:textAlignment w:val="auto"/>
        <w:rPr>
          <w:rFonts w:hint="eastAsia" w:asciiTheme="majorEastAsia" w:hAnsiTheme="majorEastAsia" w:eastAsiaTheme="majorEastAsia" w:cstheme="majorEastAsia"/>
          <w:b w:val="0"/>
          <w:bCs w:val="0"/>
          <w:color w:val="auto"/>
          <w:sz w:val="28"/>
          <w:szCs w:val="28"/>
          <w:lang w:val="en-US" w:eastAsia="zh-CN"/>
        </w:rPr>
      </w:pPr>
      <w:r>
        <w:rPr>
          <w:rFonts w:hint="eastAsia" w:asciiTheme="majorEastAsia" w:hAnsiTheme="majorEastAsia" w:eastAsiaTheme="majorEastAsia" w:cstheme="majorEastAsia"/>
          <w:b/>
          <w:bCs/>
          <w:color w:val="auto"/>
          <w:sz w:val="28"/>
          <w:szCs w:val="28"/>
          <w:lang w:val="en-US" w:eastAsia="zh-CN"/>
        </w:rPr>
        <w:t>法定期限：</w:t>
      </w:r>
      <w:r>
        <w:rPr>
          <w:rFonts w:hint="eastAsia" w:asciiTheme="majorEastAsia" w:hAnsiTheme="majorEastAsia" w:eastAsiaTheme="majorEastAsia" w:cstheme="majorEastAsia"/>
          <w:b w:val="0"/>
          <w:bCs w:val="0"/>
          <w:color w:val="auto"/>
          <w:sz w:val="28"/>
          <w:szCs w:val="28"/>
          <w:lang w:val="en-US" w:eastAsia="zh-CN"/>
        </w:rPr>
        <w:t>即时办结</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00" w:lineRule="exact"/>
        <w:ind w:right="-197" w:rightChars="-94" w:firstLine="562" w:firstLineChars="200"/>
        <w:textAlignment w:val="auto"/>
        <w:rPr>
          <w:rFonts w:hint="eastAsia" w:asciiTheme="majorEastAsia" w:hAnsiTheme="majorEastAsia" w:eastAsiaTheme="majorEastAsia" w:cstheme="majorEastAsia"/>
          <w:b/>
          <w:bCs/>
          <w:color w:val="auto"/>
          <w:sz w:val="28"/>
          <w:szCs w:val="28"/>
          <w:lang w:val="en-US" w:eastAsia="zh-CN"/>
        </w:rPr>
      </w:pPr>
      <w:r>
        <w:rPr>
          <w:rFonts w:hint="eastAsia" w:asciiTheme="majorEastAsia" w:hAnsiTheme="majorEastAsia" w:eastAsiaTheme="majorEastAsia" w:cstheme="majorEastAsia"/>
          <w:b/>
          <w:bCs/>
          <w:color w:val="auto"/>
          <w:sz w:val="28"/>
          <w:szCs w:val="28"/>
          <w:lang w:val="en-US" w:eastAsia="zh-CN"/>
        </w:rPr>
        <w:t>承诺时限：</w:t>
      </w:r>
      <w:r>
        <w:rPr>
          <w:rFonts w:hint="eastAsia" w:asciiTheme="majorEastAsia" w:hAnsiTheme="majorEastAsia" w:eastAsiaTheme="majorEastAsia" w:cstheme="majorEastAsia"/>
          <w:b w:val="0"/>
          <w:bCs w:val="0"/>
          <w:color w:val="auto"/>
          <w:sz w:val="28"/>
          <w:szCs w:val="28"/>
          <w:lang w:val="en-US" w:eastAsia="zh-CN"/>
        </w:rPr>
        <w:t>即时办结</w:t>
      </w:r>
    </w:p>
    <w:p>
      <w:pPr>
        <w:keepNext w:val="0"/>
        <w:keepLines w:val="0"/>
        <w:pageBreakBefore w:val="0"/>
        <w:numPr>
          <w:ilvl w:val="0"/>
          <w:numId w:val="0"/>
        </w:numPr>
        <w:kinsoku/>
        <w:wordWrap/>
        <w:overflowPunct/>
        <w:topLinePunct w:val="0"/>
        <w:bidi w:val="0"/>
        <w:adjustRightInd/>
        <w:snapToGrid/>
        <w:spacing w:line="500" w:lineRule="exact"/>
        <w:ind w:firstLine="562" w:firstLineChars="200"/>
        <w:textAlignment w:val="auto"/>
        <w:rPr>
          <w:rFonts w:hint="eastAsia" w:asciiTheme="majorEastAsia" w:hAnsiTheme="majorEastAsia" w:eastAsiaTheme="majorEastAsia" w:cstheme="majorEastAsia"/>
          <w:b/>
          <w:bCs/>
          <w:color w:val="auto"/>
          <w:sz w:val="28"/>
          <w:szCs w:val="28"/>
          <w:lang w:eastAsia="zh-CN"/>
        </w:rPr>
      </w:pPr>
      <w:r>
        <w:rPr>
          <w:rFonts w:hint="eastAsia" w:asciiTheme="majorEastAsia" w:hAnsiTheme="majorEastAsia" w:eastAsiaTheme="majorEastAsia" w:cstheme="majorEastAsia"/>
          <w:b/>
          <w:bCs/>
          <w:color w:val="auto"/>
          <w:sz w:val="28"/>
          <w:szCs w:val="28"/>
          <w:lang w:eastAsia="zh-CN"/>
        </w:rPr>
        <w:t>六、服务窗口</w:t>
      </w:r>
    </w:p>
    <w:p>
      <w:pPr>
        <w:keepNext w:val="0"/>
        <w:keepLines w:val="0"/>
        <w:pageBreakBefore w:val="0"/>
        <w:numPr>
          <w:ilvl w:val="0"/>
          <w:numId w:val="0"/>
        </w:numPr>
        <w:kinsoku/>
        <w:wordWrap/>
        <w:overflowPunct/>
        <w:topLinePunct w:val="0"/>
        <w:bidi w:val="0"/>
        <w:adjustRightInd/>
        <w:snapToGrid/>
        <w:spacing w:line="500" w:lineRule="exact"/>
        <w:ind w:leftChars="200"/>
        <w:textAlignment w:val="auto"/>
        <w:rPr>
          <w:rFonts w:hint="eastAsia" w:asciiTheme="majorEastAsia" w:hAnsiTheme="majorEastAsia" w:eastAsiaTheme="majorEastAsia" w:cstheme="majorEastAsia"/>
          <w:b w:val="0"/>
          <w:bCs w:val="0"/>
          <w:color w:val="auto"/>
          <w:sz w:val="28"/>
          <w:szCs w:val="28"/>
          <w:lang w:val="en-US" w:eastAsia="zh-CN"/>
        </w:rPr>
      </w:pPr>
      <w:r>
        <w:rPr>
          <w:rFonts w:hint="eastAsia" w:asciiTheme="majorEastAsia" w:hAnsiTheme="majorEastAsia" w:eastAsiaTheme="majorEastAsia" w:cstheme="majorEastAsia"/>
          <w:b/>
          <w:bCs/>
          <w:color w:val="auto"/>
          <w:sz w:val="28"/>
          <w:szCs w:val="28"/>
          <w:lang w:val="en-US" w:eastAsia="zh-CN"/>
        </w:rPr>
        <w:t xml:space="preserve"> 名称：</w:t>
      </w:r>
      <w:r>
        <w:rPr>
          <w:rFonts w:hint="eastAsia" w:asciiTheme="majorEastAsia" w:hAnsiTheme="majorEastAsia" w:eastAsiaTheme="majorEastAsia" w:cstheme="majorEastAsia"/>
          <w:b w:val="0"/>
          <w:bCs w:val="0"/>
          <w:color w:val="auto"/>
          <w:sz w:val="28"/>
          <w:szCs w:val="28"/>
          <w:lang w:val="en-US" w:eastAsia="zh-CN"/>
        </w:rPr>
        <w:t>瑞金市行政审批局</w:t>
      </w:r>
      <w:r>
        <w:rPr>
          <w:rFonts w:hint="eastAsia" w:ascii="等线 Light" w:hAnsi="等线 Light" w:eastAsia="等线 Light" w:cs="等线 Light"/>
          <w:sz w:val="28"/>
          <w:szCs w:val="28"/>
          <w:lang w:val="en-US" w:eastAsia="zh-CN"/>
        </w:rPr>
        <w:t>B59-B64号医保综合服务窗口</w:t>
      </w:r>
    </w:p>
    <w:p>
      <w:pPr>
        <w:keepNext w:val="0"/>
        <w:keepLines w:val="0"/>
        <w:pageBreakBefore w:val="0"/>
        <w:numPr>
          <w:ilvl w:val="0"/>
          <w:numId w:val="0"/>
        </w:numPr>
        <w:kinsoku/>
        <w:wordWrap/>
        <w:overflowPunct/>
        <w:topLinePunct w:val="0"/>
        <w:bidi w:val="0"/>
        <w:adjustRightInd/>
        <w:snapToGrid/>
        <w:spacing w:line="500" w:lineRule="exact"/>
        <w:ind w:leftChars="200"/>
        <w:textAlignment w:val="auto"/>
        <w:rPr>
          <w:rFonts w:hint="eastAsia" w:asciiTheme="majorEastAsia" w:hAnsiTheme="majorEastAsia" w:eastAsiaTheme="majorEastAsia" w:cstheme="majorEastAsia"/>
          <w:b/>
          <w:bCs/>
          <w:color w:val="auto"/>
          <w:sz w:val="28"/>
          <w:szCs w:val="28"/>
          <w:lang w:eastAsia="zh-CN"/>
        </w:rPr>
      </w:pPr>
      <w:r>
        <w:rPr>
          <w:rFonts w:hint="eastAsia" w:asciiTheme="majorEastAsia" w:hAnsiTheme="majorEastAsia" w:eastAsiaTheme="majorEastAsia" w:cstheme="majorEastAsia"/>
          <w:b/>
          <w:bCs/>
          <w:color w:val="auto"/>
          <w:sz w:val="28"/>
          <w:szCs w:val="28"/>
          <w:lang w:val="en-US" w:eastAsia="zh-CN"/>
        </w:rPr>
        <w:t xml:space="preserve"> 地址：</w:t>
      </w:r>
      <w:r>
        <w:rPr>
          <w:rFonts w:hint="eastAsia" w:asciiTheme="majorEastAsia" w:hAnsiTheme="majorEastAsia" w:eastAsiaTheme="majorEastAsia" w:cstheme="majorEastAsia"/>
          <w:b w:val="0"/>
          <w:bCs w:val="0"/>
          <w:color w:val="auto"/>
          <w:sz w:val="28"/>
          <w:szCs w:val="28"/>
          <w:lang w:val="en-US" w:eastAsia="zh-CN"/>
        </w:rPr>
        <w:t>瑞金市长征大道市政务服务中心2号楼二楼</w:t>
      </w:r>
    </w:p>
    <w:p>
      <w:pPr>
        <w:pStyle w:val="4"/>
        <w:keepNext w:val="0"/>
        <w:keepLines w:val="0"/>
        <w:pageBreakBefore w:val="0"/>
        <w:numPr>
          <w:ilvl w:val="0"/>
          <w:numId w:val="0"/>
        </w:numPr>
        <w:kinsoku/>
        <w:wordWrap/>
        <w:overflowPunct/>
        <w:topLinePunct w:val="0"/>
        <w:bidi w:val="0"/>
        <w:adjustRightInd/>
        <w:snapToGrid/>
        <w:spacing w:line="500" w:lineRule="exact"/>
        <w:textAlignment w:val="auto"/>
        <w:rPr>
          <w:rFonts w:hint="eastAsia" w:asciiTheme="majorEastAsia" w:hAnsiTheme="majorEastAsia" w:eastAsiaTheme="majorEastAsia" w:cstheme="majorEastAsia"/>
          <w:b/>
          <w:bCs/>
          <w:color w:val="auto"/>
          <w:sz w:val="28"/>
          <w:szCs w:val="28"/>
          <w:lang w:val="en-US" w:eastAsia="zh-CN"/>
        </w:rPr>
      </w:pPr>
      <w:r>
        <w:rPr>
          <w:rFonts w:hint="eastAsia" w:asciiTheme="majorEastAsia" w:hAnsiTheme="majorEastAsia" w:eastAsiaTheme="majorEastAsia" w:cstheme="majorEastAsia"/>
          <w:b/>
          <w:bCs/>
          <w:color w:val="auto"/>
          <w:sz w:val="28"/>
          <w:szCs w:val="28"/>
          <w:lang w:val="en-US" w:eastAsia="zh-CN"/>
        </w:rPr>
        <w:t xml:space="preserve">    </w:t>
      </w:r>
      <w:r>
        <w:rPr>
          <w:rFonts w:hint="eastAsia" w:asciiTheme="majorEastAsia" w:hAnsiTheme="majorEastAsia" w:eastAsiaTheme="majorEastAsia" w:cstheme="majorEastAsia"/>
          <w:b/>
          <w:bCs/>
          <w:color w:val="auto"/>
          <w:sz w:val="28"/>
          <w:szCs w:val="28"/>
          <w:lang w:eastAsia="zh-CN"/>
        </w:rPr>
        <w:t>七、办理时间：</w:t>
      </w:r>
      <w:r>
        <w:rPr>
          <w:rFonts w:hint="eastAsia" w:ascii="仿宋" w:hAnsi="仿宋" w:eastAsia="仿宋" w:cs="仿宋"/>
          <w:sz w:val="32"/>
          <w:szCs w:val="32"/>
        </w:rPr>
        <w:t xml:space="preserve">上午9：00-12：00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下午：1</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val="en-US" w:eastAsia="zh-CN"/>
        </w:rPr>
        <w:t>3</w:t>
      </w:r>
      <w:r>
        <w:rPr>
          <w:rFonts w:hint="eastAsia" w:ascii="仿宋" w:hAnsi="仿宋" w:eastAsia="仿宋" w:cs="仿宋"/>
          <w:sz w:val="32"/>
          <w:szCs w:val="32"/>
        </w:rPr>
        <w:t>0-17：</w:t>
      </w:r>
      <w:r>
        <w:rPr>
          <w:rFonts w:hint="eastAsia" w:ascii="仿宋" w:hAnsi="仿宋" w:eastAsia="仿宋" w:cs="仿宋"/>
          <w:sz w:val="32"/>
          <w:szCs w:val="32"/>
          <w:lang w:val="en-US" w:eastAsia="zh-CN"/>
        </w:rPr>
        <w:t>0</w:t>
      </w:r>
      <w:r>
        <w:rPr>
          <w:rFonts w:hint="eastAsia" w:ascii="仿宋" w:hAnsi="仿宋" w:eastAsia="仿宋" w:cs="仿宋"/>
          <w:sz w:val="32"/>
          <w:szCs w:val="32"/>
        </w:rPr>
        <w:t>0</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val="0"/>
          <w:bCs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heme="majorEastAsia" w:hAnsiTheme="majorEastAsia" w:eastAsiaTheme="majorEastAsia" w:cstheme="majorEastAsia"/>
          <w:b/>
          <w:bCs/>
          <w:color w:val="auto"/>
          <w:sz w:val="28"/>
          <w:szCs w:val="28"/>
          <w:lang w:val="en-US" w:eastAsia="zh-CN"/>
        </w:rPr>
      </w:pPr>
      <w:r>
        <w:rPr>
          <w:rFonts w:hint="eastAsia" w:asciiTheme="majorEastAsia" w:hAnsiTheme="majorEastAsia" w:eastAsiaTheme="majorEastAsia" w:cstheme="majorEastAsia"/>
          <w:b w:val="0"/>
          <w:bCs w:val="0"/>
          <w:color w:val="auto"/>
          <w:sz w:val="28"/>
          <w:szCs w:val="28"/>
          <w:lang w:val="en-US" w:eastAsia="zh-CN"/>
        </w:rPr>
        <w:t>联系电话：0797－2524798/2524898</w:t>
      </w: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pPr>
    </w:p>
    <w:sectPr>
      <w:pgSz w:w="11906" w:h="16838"/>
      <w:pgMar w:top="1460" w:right="1800" w:bottom="11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C8C785"/>
    <w:multiLevelType w:val="singleLevel"/>
    <w:tmpl w:val="1AC8C785"/>
    <w:lvl w:ilvl="0" w:tentative="0">
      <w:start w:val="1"/>
      <w:numFmt w:val="decimal"/>
      <w:suff w:val="nothing"/>
      <w:lvlText w:val="%1、"/>
      <w:lvlJc w:val="left"/>
    </w:lvl>
  </w:abstractNum>
  <w:abstractNum w:abstractNumId="1">
    <w:nsid w:val="62DA1B70"/>
    <w:multiLevelType w:val="singleLevel"/>
    <w:tmpl w:val="62DA1B70"/>
    <w:lvl w:ilvl="0" w:tentative="0">
      <w:start w:val="3"/>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mMTRlMDhmYzkwMzljMTZhNDIwMTlhN2YxZDU2NjcifQ=="/>
  </w:docVars>
  <w:rsids>
    <w:rsidRoot w:val="00000000"/>
    <w:rsid w:val="00056BBB"/>
    <w:rsid w:val="020B6484"/>
    <w:rsid w:val="035225D2"/>
    <w:rsid w:val="04EE00FA"/>
    <w:rsid w:val="05D15DCF"/>
    <w:rsid w:val="0D9A1E81"/>
    <w:rsid w:val="0EBB3A4E"/>
    <w:rsid w:val="0EFC02BD"/>
    <w:rsid w:val="10405B2D"/>
    <w:rsid w:val="18272757"/>
    <w:rsid w:val="18F23A2D"/>
    <w:rsid w:val="19204CB7"/>
    <w:rsid w:val="1B1E5530"/>
    <w:rsid w:val="1C5C65EE"/>
    <w:rsid w:val="1C701C1A"/>
    <w:rsid w:val="212F33EA"/>
    <w:rsid w:val="22175155"/>
    <w:rsid w:val="24C93E6F"/>
    <w:rsid w:val="26993CE6"/>
    <w:rsid w:val="298C656B"/>
    <w:rsid w:val="2D067F27"/>
    <w:rsid w:val="30840592"/>
    <w:rsid w:val="30F83EA7"/>
    <w:rsid w:val="33681E63"/>
    <w:rsid w:val="338B7CA1"/>
    <w:rsid w:val="35A24A9D"/>
    <w:rsid w:val="374E79DD"/>
    <w:rsid w:val="380A7C1D"/>
    <w:rsid w:val="38A254C5"/>
    <w:rsid w:val="38DD71A3"/>
    <w:rsid w:val="3A546FC7"/>
    <w:rsid w:val="3D7D473D"/>
    <w:rsid w:val="3DA542DA"/>
    <w:rsid w:val="3F7D45D2"/>
    <w:rsid w:val="430963EB"/>
    <w:rsid w:val="45691493"/>
    <w:rsid w:val="45F55672"/>
    <w:rsid w:val="46694716"/>
    <w:rsid w:val="4F3877FE"/>
    <w:rsid w:val="508C1416"/>
    <w:rsid w:val="511E1229"/>
    <w:rsid w:val="51D74629"/>
    <w:rsid w:val="56627E90"/>
    <w:rsid w:val="596C4DF0"/>
    <w:rsid w:val="5AEC644B"/>
    <w:rsid w:val="5FA94582"/>
    <w:rsid w:val="5FFC04C3"/>
    <w:rsid w:val="634F3CB6"/>
    <w:rsid w:val="6C1C579E"/>
    <w:rsid w:val="6D9E39BD"/>
    <w:rsid w:val="70B75646"/>
    <w:rsid w:val="70BC7D5A"/>
    <w:rsid w:val="719F278F"/>
    <w:rsid w:val="71C01A39"/>
    <w:rsid w:val="7C6A46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390</Words>
  <Characters>442</Characters>
  <Lines>0</Lines>
  <Paragraphs>0</Paragraphs>
  <TotalTime>0</TotalTime>
  <ScaleCrop>false</ScaleCrop>
  <LinksUpToDate>false</LinksUpToDate>
  <CharactersWithSpaces>457</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dc:creator>
  <cp:lastModifiedBy>Administrator</cp:lastModifiedBy>
  <dcterms:modified xsi:type="dcterms:W3CDTF">2022-08-02T04:03:19Z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E9172A9BCE154A6C89FEC4EDB8C3E1F6</vt:lpwstr>
  </property>
</Properties>
</file>