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hint="eastAsia" w:ascii="仿宋" w:hAnsi="仿宋" w:eastAsia="仿宋" w:cs="仿宋"/>
          <w:sz w:val="28"/>
          <w:szCs w:val="28"/>
        </w:rPr>
        <w:t>森林植物及其产品产地检疫和调运检疫</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行政审批局林业窗口办理植物检疫证书（办结）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1、产地检疫合格证。</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《植物检疫条例实施细则(林业部分)》 第十二条 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第十四条 应施检疫的森林植物及其产品运出发生疫情的县级行政区域之前以及调运林木种子、苗木和其他繁殖材料必须经过检疫，取得《植物检疫证书》。《植物检疫证书》由省、自治区、直辖市森检机构按规定格式统一印制。《植物检疫证书》按一车(即同一运输工具)一证核发。</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3E50E63"/>
    <w:rsid w:val="04217A4C"/>
    <w:rsid w:val="04C70629"/>
    <w:rsid w:val="05F250AD"/>
    <w:rsid w:val="064F40B5"/>
    <w:rsid w:val="06BE0CF9"/>
    <w:rsid w:val="070142C4"/>
    <w:rsid w:val="075561D5"/>
    <w:rsid w:val="082F2519"/>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DC74FF4"/>
    <w:rsid w:val="1F6839CB"/>
    <w:rsid w:val="206B3DED"/>
    <w:rsid w:val="23692404"/>
    <w:rsid w:val="23F922FD"/>
    <w:rsid w:val="242F2F45"/>
    <w:rsid w:val="25507727"/>
    <w:rsid w:val="26027A71"/>
    <w:rsid w:val="27D668C5"/>
    <w:rsid w:val="28A20292"/>
    <w:rsid w:val="2A3025BC"/>
    <w:rsid w:val="2BA20DD5"/>
    <w:rsid w:val="2C143568"/>
    <w:rsid w:val="2D045E9D"/>
    <w:rsid w:val="2DFC4650"/>
    <w:rsid w:val="2EE879A7"/>
    <w:rsid w:val="2FC462AC"/>
    <w:rsid w:val="31A92050"/>
    <w:rsid w:val="32CE477D"/>
    <w:rsid w:val="33377A41"/>
    <w:rsid w:val="33880032"/>
    <w:rsid w:val="33D80AE3"/>
    <w:rsid w:val="343F753F"/>
    <w:rsid w:val="356639D0"/>
    <w:rsid w:val="36BE02D5"/>
    <w:rsid w:val="37BA5359"/>
    <w:rsid w:val="37BB7471"/>
    <w:rsid w:val="37ED231E"/>
    <w:rsid w:val="3AAB7CC6"/>
    <w:rsid w:val="3AAE529E"/>
    <w:rsid w:val="3B0E3BA1"/>
    <w:rsid w:val="3B916E0A"/>
    <w:rsid w:val="3D026E4B"/>
    <w:rsid w:val="3D567BB1"/>
    <w:rsid w:val="41EF6B57"/>
    <w:rsid w:val="43361951"/>
    <w:rsid w:val="43376F57"/>
    <w:rsid w:val="446C0589"/>
    <w:rsid w:val="460F20AB"/>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DDC7B17"/>
    <w:rsid w:val="5EE63696"/>
    <w:rsid w:val="5F2A1ADE"/>
    <w:rsid w:val="60D87F4A"/>
    <w:rsid w:val="6126401B"/>
    <w:rsid w:val="61584654"/>
    <w:rsid w:val="63D65245"/>
    <w:rsid w:val="642E3B87"/>
    <w:rsid w:val="66083735"/>
    <w:rsid w:val="66304607"/>
    <w:rsid w:val="66AC4CF5"/>
    <w:rsid w:val="671D5FAB"/>
    <w:rsid w:val="69352FD8"/>
    <w:rsid w:val="697B66DF"/>
    <w:rsid w:val="6E8F63AF"/>
    <w:rsid w:val="6FFE5999"/>
    <w:rsid w:val="70EA3523"/>
    <w:rsid w:val="71344136"/>
    <w:rsid w:val="72FA31F3"/>
    <w:rsid w:val="74F41BA6"/>
    <w:rsid w:val="75440398"/>
    <w:rsid w:val="75B410EA"/>
    <w:rsid w:val="75EF4FAF"/>
    <w:rsid w:val="76273DB4"/>
    <w:rsid w:val="781951E6"/>
    <w:rsid w:val="782B27E6"/>
    <w:rsid w:val="7E984BCD"/>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571</Words>
  <Characters>604</Characters>
  <Lines>39</Lines>
  <Paragraphs>11</Paragraphs>
  <TotalTime>0</TotalTime>
  <ScaleCrop>false</ScaleCrop>
  <LinksUpToDate>false</LinksUpToDate>
  <CharactersWithSpaces>614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2022-08-17T07:06:39Z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3767F00A51EE4D52BB228CC1FAEFB617</vt:lpwstr>
  </property>
</Properties>
</file>