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778" w:tblpY="54"/>
        <w:tblOverlap w:val="never"/>
        <w:tblW w:w="8760" w:type="dxa"/>
        <w:tblCellMar>
          <w:left w:w="0" w:type="dxa"/>
          <w:right w:w="0" w:type="dxa"/>
        </w:tblCellMar>
        <w:tblLook w:val="0000"/>
      </w:tblPr>
      <w:tblGrid>
        <w:gridCol w:w="8760"/>
      </w:tblGrid>
      <w:tr w:rsidR="00BE7400" w:rsidTr="00164453">
        <w:trPr>
          <w:trHeight w:val="465"/>
        </w:trPr>
        <w:tc>
          <w:tcPr>
            <w:tcW w:w="8760" w:type="dxa"/>
            <w:tcBorders>
              <w:top w:val="nil"/>
              <w:left w:val="nil"/>
              <w:bottom w:val="nil"/>
              <w:right w:val="nil"/>
            </w:tcBorders>
            <w:noWrap/>
            <w:tcMar>
              <w:top w:w="15" w:type="dxa"/>
              <w:left w:w="15" w:type="dxa"/>
              <w:right w:w="15" w:type="dxa"/>
            </w:tcMar>
            <w:vAlign w:val="center"/>
          </w:tcPr>
          <w:p w:rsidR="00BE7400" w:rsidRDefault="00BE7400" w:rsidP="00164453">
            <w:pPr>
              <w:widowControl/>
              <w:spacing w:line="560" w:lineRule="exact"/>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rPr>
              <w:t>瑞金市城管局经开区城管分局整体支出绩效自评报告</w:t>
            </w:r>
          </w:p>
        </w:tc>
      </w:tr>
      <w:tr w:rsidR="00BE7400" w:rsidTr="00164453">
        <w:trPr>
          <w:trHeight w:val="325"/>
        </w:trPr>
        <w:tc>
          <w:tcPr>
            <w:tcW w:w="8760" w:type="dxa"/>
            <w:tcBorders>
              <w:top w:val="nil"/>
              <w:left w:val="nil"/>
              <w:bottom w:val="nil"/>
              <w:right w:val="nil"/>
            </w:tcBorders>
            <w:noWrap/>
            <w:tcMar>
              <w:top w:w="15" w:type="dxa"/>
              <w:left w:w="15" w:type="dxa"/>
              <w:right w:w="15" w:type="dxa"/>
            </w:tcMar>
            <w:vAlign w:val="center"/>
          </w:tcPr>
          <w:p w:rsidR="00BE7400" w:rsidRDefault="00BE7400" w:rsidP="00164453">
            <w:pPr>
              <w:widowControl/>
              <w:spacing w:line="560" w:lineRule="exact"/>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rPr>
              <w:t>（20</w:t>
            </w:r>
            <w:r w:rsidR="00F94D3F">
              <w:rPr>
                <w:rFonts w:ascii="仿宋" w:eastAsia="仿宋" w:hAnsi="仿宋" w:cs="仿宋" w:hint="eastAsia"/>
                <w:color w:val="000000"/>
                <w:kern w:val="0"/>
                <w:sz w:val="30"/>
                <w:szCs w:val="30"/>
              </w:rPr>
              <w:t>20</w:t>
            </w:r>
            <w:r>
              <w:rPr>
                <w:rFonts w:ascii="仿宋" w:eastAsia="仿宋" w:hAnsi="仿宋" w:cs="仿宋" w:hint="eastAsia"/>
                <w:color w:val="000000"/>
                <w:kern w:val="0"/>
                <w:sz w:val="30"/>
                <w:szCs w:val="30"/>
              </w:rPr>
              <w:t>年度）</w:t>
            </w:r>
          </w:p>
        </w:tc>
      </w:tr>
      <w:tr w:rsidR="00BE7400" w:rsidTr="00164453">
        <w:trPr>
          <w:trHeight w:val="325"/>
        </w:trPr>
        <w:tc>
          <w:tcPr>
            <w:tcW w:w="8760" w:type="dxa"/>
            <w:tcBorders>
              <w:top w:val="nil"/>
              <w:left w:val="nil"/>
              <w:bottom w:val="nil"/>
              <w:right w:val="nil"/>
            </w:tcBorders>
            <w:noWrap/>
            <w:tcMar>
              <w:top w:w="15" w:type="dxa"/>
              <w:left w:w="15" w:type="dxa"/>
              <w:right w:w="15" w:type="dxa"/>
            </w:tcMar>
            <w:vAlign w:val="center"/>
          </w:tcPr>
          <w:p w:rsidR="00BE7400" w:rsidRDefault="00BE7400" w:rsidP="00164453">
            <w:pPr>
              <w:widowControl/>
              <w:spacing w:line="560" w:lineRule="exact"/>
              <w:rPr>
                <w:rFonts w:ascii="仿宋" w:eastAsia="仿宋" w:hAnsi="仿宋" w:cs="仿宋"/>
                <w:color w:val="000000"/>
                <w:sz w:val="30"/>
                <w:szCs w:val="30"/>
              </w:rPr>
            </w:pPr>
          </w:p>
        </w:tc>
      </w:tr>
      <w:tr w:rsidR="00BE7400" w:rsidTr="00164453">
        <w:trPr>
          <w:trHeight w:val="333"/>
        </w:trPr>
        <w:tc>
          <w:tcPr>
            <w:tcW w:w="8760" w:type="dxa"/>
            <w:tcBorders>
              <w:top w:val="nil"/>
              <w:left w:val="nil"/>
              <w:bottom w:val="nil"/>
              <w:right w:val="nil"/>
            </w:tcBorders>
            <w:tcMar>
              <w:top w:w="15" w:type="dxa"/>
              <w:left w:w="15" w:type="dxa"/>
              <w:right w:w="15" w:type="dxa"/>
            </w:tcMar>
            <w:vAlign w:val="center"/>
          </w:tcPr>
          <w:p w:rsidR="00BE7400" w:rsidRPr="00402E98" w:rsidRDefault="00F94D3F" w:rsidP="00F94D3F">
            <w:pPr>
              <w:widowControl/>
              <w:spacing w:line="560" w:lineRule="exact"/>
              <w:textAlignment w:val="center"/>
              <w:rPr>
                <w:rFonts w:ascii="仿宋_GB2312" w:eastAsia="仿宋_GB2312" w:hAnsi="仿宋_GB2312" w:cs="仿宋_GB2312"/>
                <w:b/>
                <w:color w:val="000000"/>
                <w:sz w:val="32"/>
                <w:szCs w:val="32"/>
              </w:rPr>
            </w:pPr>
            <w:r>
              <w:rPr>
                <w:rFonts w:ascii="黑体" w:eastAsia="黑体" w:hAnsi="黑体" w:cs="黑体" w:hint="eastAsia"/>
                <w:b/>
                <w:color w:val="000000"/>
                <w:kern w:val="0"/>
                <w:sz w:val="32"/>
                <w:szCs w:val="32"/>
              </w:rPr>
              <w:t xml:space="preserve">    </w:t>
            </w:r>
            <w:r w:rsidR="00BE7400" w:rsidRPr="00402E98">
              <w:rPr>
                <w:rFonts w:ascii="黑体" w:eastAsia="黑体" w:hAnsi="黑体" w:cs="黑体" w:hint="eastAsia"/>
                <w:b/>
                <w:color w:val="000000"/>
                <w:kern w:val="0"/>
                <w:sz w:val="32"/>
                <w:szCs w:val="32"/>
              </w:rPr>
              <w:t>一、部门（单位）概况</w:t>
            </w:r>
          </w:p>
        </w:tc>
      </w:tr>
      <w:tr w:rsidR="00BE7400" w:rsidRPr="00402E98" w:rsidTr="00164453">
        <w:trPr>
          <w:trHeight w:val="569"/>
        </w:trPr>
        <w:tc>
          <w:tcPr>
            <w:tcW w:w="8760" w:type="dxa"/>
            <w:tcBorders>
              <w:top w:val="nil"/>
              <w:left w:val="nil"/>
              <w:bottom w:val="nil"/>
              <w:right w:val="nil"/>
            </w:tcBorders>
            <w:tcMar>
              <w:top w:w="15" w:type="dxa"/>
              <w:left w:w="15" w:type="dxa"/>
              <w:right w:w="15" w:type="dxa"/>
            </w:tcMar>
            <w:vAlign w:val="center"/>
          </w:tcPr>
          <w:p w:rsidR="00BE7400" w:rsidRPr="00402E98" w:rsidRDefault="00BE7400" w:rsidP="00164453">
            <w:pPr>
              <w:spacing w:line="540" w:lineRule="exact"/>
              <w:ind w:firstLineChars="200" w:firstLine="640"/>
              <w:rPr>
                <w:rFonts w:ascii="仿宋" w:eastAsia="仿宋" w:hAnsi="仿宋" w:cs="仿宋_GB2312"/>
                <w:color w:val="000000"/>
                <w:kern w:val="0"/>
                <w:sz w:val="32"/>
                <w:szCs w:val="32"/>
              </w:rPr>
            </w:pPr>
            <w:r w:rsidRPr="00402E98">
              <w:rPr>
                <w:rFonts w:ascii="仿宋" w:eastAsia="仿宋" w:hAnsi="仿宋" w:cs="仿宋_GB2312" w:hint="eastAsia"/>
                <w:color w:val="000000"/>
                <w:kern w:val="0"/>
                <w:sz w:val="32"/>
                <w:szCs w:val="32"/>
              </w:rPr>
              <w:t>（一）部门（单位）主要职责职能，组织架构、人员及资产等基本情况。</w:t>
            </w:r>
          </w:p>
          <w:p w:rsidR="00BE7400" w:rsidRPr="00402E98" w:rsidRDefault="00BE7400" w:rsidP="00164453">
            <w:pPr>
              <w:spacing w:line="540" w:lineRule="exact"/>
              <w:ind w:firstLineChars="200" w:firstLine="640"/>
              <w:rPr>
                <w:rFonts w:ascii="仿宋" w:eastAsia="仿宋" w:hAnsi="仿宋"/>
                <w:sz w:val="32"/>
                <w:szCs w:val="32"/>
              </w:rPr>
            </w:pPr>
            <w:r w:rsidRPr="00402E98">
              <w:rPr>
                <w:rFonts w:ascii="仿宋" w:eastAsia="仿宋" w:hAnsi="仿宋" w:hint="eastAsia"/>
                <w:sz w:val="32"/>
                <w:szCs w:val="32"/>
              </w:rPr>
              <w:t>本单位</w:t>
            </w:r>
            <w:r w:rsidRPr="00402E98">
              <w:rPr>
                <w:rFonts w:ascii="仿宋" w:eastAsia="仿宋" w:hAnsi="仿宋" w:cs="仿宋_GB2312" w:hint="eastAsia"/>
                <w:color w:val="000000"/>
                <w:kern w:val="0"/>
                <w:sz w:val="32"/>
                <w:szCs w:val="32"/>
              </w:rPr>
              <w:t>主要职责职能：</w:t>
            </w:r>
            <w:r w:rsidRPr="00402E98">
              <w:rPr>
                <w:rFonts w:ascii="仿宋" w:eastAsia="仿宋" w:hAnsi="仿宋" w:hint="eastAsia"/>
                <w:sz w:val="32"/>
                <w:szCs w:val="32"/>
              </w:rPr>
              <w:t>负责园区的综合协调和监督检查，负责园区市容市貌及环境卫生、园林、路灯、市政的管理工作；研究制定园区市容市貌、环境卫生质量标准，园区余土调剂清运，地方建材运输及流散物体，工地环境卫生等管理规定，并监督实施；负责园区户外广告设置，张贴（挂）宣传的审批及监督管理；负责园区经营性，临时占道的管理，审批园区各类展销、咨询、演出等临时占用城区公共场所的活动并进行监督管理，会同工商行动行政管理部门搞好城区摊点布局规划，管理店外经营及场外交易；负责园区综合整治市容市貌环境工作：负责“门前三包”工作的检查和管理。</w:t>
            </w:r>
          </w:p>
          <w:p w:rsidR="00BE7400" w:rsidRPr="00402E98" w:rsidRDefault="00BE7400" w:rsidP="00F94D3F">
            <w:pPr>
              <w:spacing w:line="540" w:lineRule="exact"/>
              <w:ind w:firstLineChars="200" w:firstLine="640"/>
              <w:rPr>
                <w:rFonts w:ascii="仿宋" w:eastAsia="仿宋" w:hAnsi="仿宋"/>
                <w:sz w:val="32"/>
                <w:szCs w:val="32"/>
              </w:rPr>
            </w:pPr>
            <w:r w:rsidRPr="00402E98">
              <w:rPr>
                <w:rFonts w:ascii="仿宋" w:eastAsia="仿宋" w:hAnsi="仿宋" w:hint="eastAsia"/>
                <w:sz w:val="32"/>
                <w:szCs w:val="32"/>
              </w:rPr>
              <w:t>本单位编制数6人，在编在岗人员</w:t>
            </w:r>
            <w:r w:rsidR="00F94D3F">
              <w:rPr>
                <w:rFonts w:ascii="仿宋" w:eastAsia="仿宋" w:hAnsi="仿宋" w:hint="eastAsia"/>
                <w:sz w:val="32"/>
                <w:szCs w:val="32"/>
              </w:rPr>
              <w:t>6</w:t>
            </w:r>
            <w:r w:rsidRPr="00402E98">
              <w:rPr>
                <w:rFonts w:ascii="仿宋" w:eastAsia="仿宋" w:hAnsi="仿宋" w:hint="eastAsia"/>
                <w:sz w:val="32"/>
                <w:szCs w:val="32"/>
              </w:rPr>
              <w:t xml:space="preserve">人，编内聘用人员1人。 </w:t>
            </w:r>
          </w:p>
        </w:tc>
      </w:tr>
      <w:tr w:rsidR="00BE7400" w:rsidRPr="00402E98" w:rsidTr="00164453">
        <w:trPr>
          <w:trHeight w:val="333"/>
        </w:trPr>
        <w:tc>
          <w:tcPr>
            <w:tcW w:w="8760" w:type="dxa"/>
            <w:tcBorders>
              <w:top w:val="nil"/>
              <w:left w:val="nil"/>
              <w:bottom w:val="nil"/>
              <w:right w:val="nil"/>
            </w:tcBorders>
            <w:tcMar>
              <w:top w:w="15" w:type="dxa"/>
              <w:left w:w="15" w:type="dxa"/>
              <w:right w:w="15" w:type="dxa"/>
            </w:tcMar>
            <w:vAlign w:val="center"/>
          </w:tcPr>
          <w:p w:rsidR="00BE7400" w:rsidRPr="00402E98" w:rsidRDefault="00F94D3F" w:rsidP="00F94D3F">
            <w:pPr>
              <w:spacing w:line="540" w:lineRule="exac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   </w:t>
            </w:r>
            <w:r w:rsidR="00BE7400" w:rsidRPr="00402E98">
              <w:rPr>
                <w:rFonts w:ascii="仿宋" w:eastAsia="仿宋" w:hAnsi="仿宋" w:cs="仿宋_GB2312" w:hint="eastAsia"/>
                <w:color w:val="000000"/>
                <w:kern w:val="0"/>
                <w:sz w:val="32"/>
                <w:szCs w:val="32"/>
              </w:rPr>
              <w:t>（二）当年部门（单位）履职总体目标、工作任务。</w:t>
            </w:r>
          </w:p>
          <w:p w:rsidR="00BE7400" w:rsidRPr="00402E98" w:rsidRDefault="00BE7400" w:rsidP="00164453">
            <w:pPr>
              <w:spacing w:line="540" w:lineRule="exact"/>
              <w:ind w:firstLineChars="200" w:firstLine="640"/>
              <w:rPr>
                <w:rFonts w:ascii="仿宋" w:eastAsia="仿宋" w:hAnsi="仿宋"/>
                <w:sz w:val="32"/>
                <w:szCs w:val="32"/>
              </w:rPr>
            </w:pPr>
            <w:r w:rsidRPr="00402E98">
              <w:rPr>
                <w:rFonts w:ascii="仿宋" w:eastAsia="仿宋" w:hAnsi="仿宋" w:hint="eastAsia"/>
                <w:sz w:val="32"/>
                <w:szCs w:val="32"/>
              </w:rPr>
              <w:t>做好园区内环境卫生、园林、路灯、市政的管理工作；园区内余土调剂清运、地方建材运输及流散物体，工地环境卫生管理；户外广告设置，张贴（挂）宣传及监督管理；园区摆摊设点、临时占道管理，店外经营管理，企业垃圾清运及市主管局、经开区管委会等相关部门交办的各项工作任务。</w:t>
            </w:r>
          </w:p>
        </w:tc>
      </w:tr>
      <w:tr w:rsidR="00BE7400" w:rsidRPr="00402E98" w:rsidTr="00164453">
        <w:trPr>
          <w:trHeight w:val="333"/>
        </w:trPr>
        <w:tc>
          <w:tcPr>
            <w:tcW w:w="8760" w:type="dxa"/>
            <w:tcBorders>
              <w:top w:val="nil"/>
              <w:left w:val="nil"/>
              <w:bottom w:val="nil"/>
              <w:right w:val="nil"/>
            </w:tcBorders>
            <w:tcMar>
              <w:top w:w="15" w:type="dxa"/>
              <w:left w:w="15" w:type="dxa"/>
              <w:right w:w="15" w:type="dxa"/>
            </w:tcMar>
            <w:vAlign w:val="center"/>
          </w:tcPr>
          <w:p w:rsidR="00BE7400" w:rsidRPr="00402E98" w:rsidRDefault="00BE7400" w:rsidP="00164453">
            <w:pPr>
              <w:snapToGrid w:val="0"/>
              <w:spacing w:line="540" w:lineRule="exact"/>
              <w:ind w:firstLineChars="200" w:firstLine="640"/>
              <w:rPr>
                <w:rFonts w:ascii="仿宋" w:eastAsia="仿宋" w:hAnsi="仿宋" w:cs="仿宋_GB2312"/>
                <w:color w:val="000000"/>
                <w:kern w:val="0"/>
                <w:sz w:val="32"/>
                <w:szCs w:val="32"/>
              </w:rPr>
            </w:pPr>
            <w:r w:rsidRPr="00402E98">
              <w:rPr>
                <w:rFonts w:ascii="仿宋" w:eastAsia="仿宋" w:hAnsi="仿宋" w:cs="仿宋_GB2312" w:hint="eastAsia"/>
                <w:color w:val="000000"/>
                <w:kern w:val="0"/>
                <w:sz w:val="32"/>
                <w:szCs w:val="32"/>
              </w:rPr>
              <w:t>（三）当年部门（单位）年度整体支出绩效目标。</w:t>
            </w:r>
          </w:p>
          <w:p w:rsidR="00BE7400" w:rsidRPr="00402E98" w:rsidRDefault="00BE7400" w:rsidP="00E36E13">
            <w:pPr>
              <w:snapToGrid w:val="0"/>
              <w:spacing w:line="540" w:lineRule="exact"/>
              <w:ind w:firstLineChars="200" w:firstLine="640"/>
              <w:rPr>
                <w:rFonts w:ascii="仿宋" w:eastAsia="仿宋" w:hAnsi="仿宋"/>
                <w:sz w:val="32"/>
                <w:szCs w:val="32"/>
              </w:rPr>
            </w:pPr>
            <w:r w:rsidRPr="00402E98">
              <w:rPr>
                <w:rFonts w:ascii="仿宋" w:eastAsia="仿宋" w:hAnsi="仿宋" w:hint="eastAsia"/>
                <w:sz w:val="32"/>
                <w:szCs w:val="32"/>
              </w:rPr>
              <w:lastRenderedPageBreak/>
              <w:t>全年总收入</w:t>
            </w:r>
            <w:r w:rsidR="00F94D3F">
              <w:rPr>
                <w:rFonts w:ascii="仿宋" w:eastAsia="仿宋" w:hAnsi="仿宋" w:hint="eastAsia"/>
                <w:sz w:val="32"/>
                <w:szCs w:val="32"/>
              </w:rPr>
              <w:t>93.69</w:t>
            </w:r>
            <w:r w:rsidRPr="00402E98">
              <w:rPr>
                <w:rFonts w:ascii="仿宋" w:eastAsia="仿宋" w:hAnsi="仿宋" w:hint="eastAsia"/>
                <w:sz w:val="32"/>
                <w:szCs w:val="32"/>
              </w:rPr>
              <w:t>万元，其中财政拨款</w:t>
            </w:r>
            <w:r w:rsidR="00F94D3F">
              <w:rPr>
                <w:rFonts w:ascii="仿宋" w:eastAsia="仿宋" w:hAnsi="仿宋" w:hint="eastAsia"/>
                <w:sz w:val="32"/>
                <w:szCs w:val="32"/>
              </w:rPr>
              <w:t>65.13</w:t>
            </w:r>
            <w:r w:rsidRPr="00402E98">
              <w:rPr>
                <w:rFonts w:ascii="仿宋" w:eastAsia="仿宋" w:hAnsi="仿宋" w:hint="eastAsia"/>
                <w:sz w:val="32"/>
                <w:szCs w:val="32"/>
              </w:rPr>
              <w:t>万元，占</w:t>
            </w:r>
            <w:r w:rsidR="00F94D3F">
              <w:rPr>
                <w:rFonts w:ascii="仿宋" w:eastAsia="仿宋" w:hAnsi="仿宋" w:hint="eastAsia"/>
                <w:sz w:val="32"/>
                <w:szCs w:val="32"/>
              </w:rPr>
              <w:t>69.57</w:t>
            </w:r>
            <w:r w:rsidRPr="00402E98">
              <w:rPr>
                <w:rFonts w:ascii="仿宋" w:eastAsia="仿宋" w:hAnsi="仿宋" w:hint="eastAsia"/>
                <w:sz w:val="32"/>
                <w:szCs w:val="32"/>
              </w:rPr>
              <w:t>%</w:t>
            </w:r>
            <w:r w:rsidR="00F94D3F">
              <w:rPr>
                <w:rFonts w:ascii="仿宋" w:eastAsia="仿宋" w:hAnsi="仿宋" w:hint="eastAsia"/>
                <w:sz w:val="32"/>
                <w:szCs w:val="32"/>
              </w:rPr>
              <w:t>,其他收入3.7万元，</w:t>
            </w:r>
            <w:r w:rsidR="00F94D3F" w:rsidRPr="00402E98">
              <w:rPr>
                <w:rFonts w:ascii="仿宋" w:eastAsia="仿宋" w:hAnsi="仿宋" w:hint="eastAsia"/>
                <w:sz w:val="32"/>
                <w:szCs w:val="32"/>
              </w:rPr>
              <w:t>占</w:t>
            </w:r>
            <w:r w:rsidR="00F94D3F">
              <w:rPr>
                <w:rFonts w:ascii="仿宋" w:eastAsia="仿宋" w:hAnsi="仿宋" w:hint="eastAsia"/>
                <w:sz w:val="32"/>
                <w:szCs w:val="32"/>
              </w:rPr>
              <w:t>3.9</w:t>
            </w:r>
            <w:r w:rsidR="00F94D3F" w:rsidRPr="00402E98">
              <w:rPr>
                <w:rFonts w:ascii="仿宋" w:eastAsia="仿宋" w:hAnsi="仿宋" w:hint="eastAsia"/>
                <w:sz w:val="32"/>
                <w:szCs w:val="32"/>
              </w:rPr>
              <w:t>%</w:t>
            </w:r>
            <w:r w:rsidR="00F94D3F">
              <w:rPr>
                <w:rFonts w:ascii="仿宋" w:eastAsia="仿宋" w:hAnsi="仿宋" w:hint="eastAsia"/>
                <w:sz w:val="32"/>
                <w:szCs w:val="32"/>
              </w:rPr>
              <w:t>，上年结转24.86万元，</w:t>
            </w:r>
            <w:r w:rsidR="00F94D3F" w:rsidRPr="00402E98">
              <w:rPr>
                <w:rFonts w:ascii="仿宋" w:eastAsia="仿宋" w:hAnsi="仿宋" w:hint="eastAsia"/>
                <w:sz w:val="32"/>
                <w:szCs w:val="32"/>
              </w:rPr>
              <w:t>占</w:t>
            </w:r>
            <w:r w:rsidR="00F94D3F">
              <w:rPr>
                <w:rFonts w:ascii="仿宋" w:eastAsia="仿宋" w:hAnsi="仿宋" w:hint="eastAsia"/>
                <w:sz w:val="32"/>
                <w:szCs w:val="32"/>
              </w:rPr>
              <w:t>26.53</w:t>
            </w:r>
            <w:r w:rsidR="00F94D3F" w:rsidRPr="00402E98">
              <w:rPr>
                <w:rFonts w:ascii="仿宋" w:eastAsia="仿宋" w:hAnsi="仿宋" w:hint="eastAsia"/>
                <w:sz w:val="32"/>
                <w:szCs w:val="32"/>
              </w:rPr>
              <w:t>%</w:t>
            </w:r>
            <w:r w:rsidRPr="00402E98">
              <w:rPr>
                <w:rFonts w:ascii="仿宋" w:eastAsia="仿宋" w:hAnsi="仿宋" w:hint="eastAsia"/>
                <w:sz w:val="32"/>
                <w:szCs w:val="32"/>
              </w:rPr>
              <w:t>；全年总支出</w:t>
            </w:r>
            <w:r w:rsidR="00F94D3F">
              <w:rPr>
                <w:rFonts w:ascii="仿宋" w:eastAsia="仿宋" w:hAnsi="仿宋" w:hint="eastAsia"/>
                <w:sz w:val="32"/>
                <w:szCs w:val="32"/>
              </w:rPr>
              <w:t>67.14</w:t>
            </w:r>
            <w:r w:rsidRPr="00402E98">
              <w:rPr>
                <w:rFonts w:ascii="仿宋" w:eastAsia="仿宋" w:hAnsi="仿宋" w:hint="eastAsia"/>
                <w:sz w:val="32"/>
                <w:szCs w:val="32"/>
              </w:rPr>
              <w:t>万元，</w:t>
            </w:r>
            <w:r w:rsidR="00E36E13">
              <w:rPr>
                <w:rFonts w:ascii="仿宋" w:eastAsia="仿宋" w:hAnsi="仿宋" w:hint="eastAsia"/>
                <w:sz w:val="32"/>
                <w:szCs w:val="32"/>
              </w:rPr>
              <w:t>其</w:t>
            </w:r>
            <w:r w:rsidRPr="00402E98">
              <w:rPr>
                <w:rFonts w:ascii="仿宋" w:eastAsia="仿宋" w:hAnsi="仿宋" w:hint="eastAsia"/>
                <w:sz w:val="32"/>
                <w:szCs w:val="32"/>
              </w:rPr>
              <w:t>中人员经费支出</w:t>
            </w:r>
            <w:r w:rsidR="00F94D3F">
              <w:rPr>
                <w:rFonts w:ascii="仿宋" w:eastAsia="仿宋" w:hAnsi="仿宋" w:hint="eastAsia"/>
                <w:sz w:val="32"/>
                <w:szCs w:val="32"/>
              </w:rPr>
              <w:t>43.02</w:t>
            </w:r>
            <w:r w:rsidRPr="00402E98">
              <w:rPr>
                <w:rFonts w:ascii="仿宋" w:eastAsia="仿宋" w:hAnsi="仿宋" w:hint="eastAsia"/>
                <w:sz w:val="32"/>
                <w:szCs w:val="32"/>
              </w:rPr>
              <w:t>万元、占</w:t>
            </w:r>
            <w:r w:rsidR="00F94D3F">
              <w:rPr>
                <w:rFonts w:ascii="仿宋" w:eastAsia="仿宋" w:hAnsi="仿宋" w:hint="eastAsia"/>
                <w:sz w:val="32"/>
                <w:szCs w:val="32"/>
              </w:rPr>
              <w:t>64.08</w:t>
            </w:r>
            <w:r w:rsidRPr="00402E98">
              <w:rPr>
                <w:rFonts w:ascii="仿宋" w:eastAsia="仿宋" w:hAnsi="仿宋" w:hint="eastAsia"/>
                <w:sz w:val="32"/>
                <w:szCs w:val="32"/>
              </w:rPr>
              <w:t>%,日常公用经费支出</w:t>
            </w:r>
            <w:r w:rsidR="00F94D3F">
              <w:rPr>
                <w:rFonts w:ascii="仿宋" w:eastAsia="仿宋" w:hAnsi="仿宋" w:hint="eastAsia"/>
                <w:sz w:val="32"/>
                <w:szCs w:val="32"/>
              </w:rPr>
              <w:t>24.12</w:t>
            </w:r>
            <w:r w:rsidRPr="00402E98">
              <w:rPr>
                <w:rFonts w:ascii="仿宋" w:eastAsia="仿宋" w:hAnsi="仿宋" w:hint="eastAsia"/>
                <w:sz w:val="32"/>
                <w:szCs w:val="32"/>
              </w:rPr>
              <w:t>万元、占总支出的</w:t>
            </w:r>
            <w:r w:rsidR="00F94D3F">
              <w:rPr>
                <w:rFonts w:ascii="仿宋" w:eastAsia="仿宋" w:hAnsi="仿宋" w:hint="eastAsia"/>
                <w:sz w:val="32"/>
                <w:szCs w:val="32"/>
              </w:rPr>
              <w:t>35.92</w:t>
            </w:r>
            <w:r w:rsidRPr="00402E98">
              <w:rPr>
                <w:rFonts w:ascii="仿宋" w:eastAsia="仿宋" w:hAnsi="仿宋" w:hint="eastAsia"/>
                <w:sz w:val="32"/>
                <w:szCs w:val="32"/>
              </w:rPr>
              <w:t>%。</w:t>
            </w:r>
          </w:p>
        </w:tc>
      </w:tr>
      <w:tr w:rsidR="00BE7400" w:rsidRPr="00402E98" w:rsidTr="00164453">
        <w:trPr>
          <w:trHeight w:val="333"/>
        </w:trPr>
        <w:tc>
          <w:tcPr>
            <w:tcW w:w="8760" w:type="dxa"/>
            <w:tcBorders>
              <w:top w:val="nil"/>
              <w:left w:val="nil"/>
              <w:bottom w:val="nil"/>
              <w:right w:val="nil"/>
            </w:tcBorders>
            <w:tcMar>
              <w:top w:w="15" w:type="dxa"/>
              <w:left w:w="15" w:type="dxa"/>
              <w:right w:w="15" w:type="dxa"/>
            </w:tcMar>
            <w:vAlign w:val="center"/>
          </w:tcPr>
          <w:p w:rsidR="00BE7400" w:rsidRPr="00402E98" w:rsidRDefault="00BE7400" w:rsidP="00164453">
            <w:pPr>
              <w:widowControl/>
              <w:spacing w:line="540" w:lineRule="exact"/>
              <w:ind w:firstLineChars="200" w:firstLine="640"/>
              <w:textAlignment w:val="center"/>
              <w:rPr>
                <w:rFonts w:ascii="仿宋" w:eastAsia="仿宋" w:hAnsi="仿宋" w:cs="仿宋_GB2312"/>
                <w:color w:val="000000"/>
                <w:kern w:val="0"/>
                <w:sz w:val="32"/>
                <w:szCs w:val="32"/>
              </w:rPr>
            </w:pPr>
            <w:r w:rsidRPr="00402E98">
              <w:rPr>
                <w:rFonts w:ascii="仿宋" w:eastAsia="仿宋" w:hAnsi="仿宋" w:cs="仿宋_GB2312" w:hint="eastAsia"/>
                <w:color w:val="000000"/>
                <w:kern w:val="0"/>
                <w:sz w:val="32"/>
                <w:szCs w:val="32"/>
              </w:rPr>
              <w:lastRenderedPageBreak/>
              <w:t>（四）部门（单位）预算绩效管理开展情况。</w:t>
            </w:r>
          </w:p>
          <w:p w:rsidR="00BE7400" w:rsidRPr="00402E98" w:rsidRDefault="00BE7400" w:rsidP="00164453">
            <w:pPr>
              <w:widowControl/>
              <w:spacing w:line="540" w:lineRule="exact"/>
              <w:ind w:firstLineChars="200" w:firstLine="640"/>
              <w:textAlignment w:val="center"/>
              <w:rPr>
                <w:rFonts w:ascii="仿宋" w:eastAsia="仿宋" w:hAnsi="仿宋" w:cs="仿宋_GB2312"/>
                <w:color w:val="000000"/>
                <w:sz w:val="32"/>
                <w:szCs w:val="32"/>
              </w:rPr>
            </w:pPr>
            <w:r w:rsidRPr="00402E98">
              <w:rPr>
                <w:rFonts w:ascii="仿宋" w:eastAsia="仿宋" w:hAnsi="仿宋" w:cs="黑体" w:hint="eastAsia"/>
                <w:color w:val="000000"/>
                <w:kern w:val="0"/>
                <w:sz w:val="32"/>
                <w:szCs w:val="32"/>
              </w:rPr>
              <w:t>整体支出绩效实施以来，我局高度重视</w:t>
            </w:r>
            <w:r w:rsidRPr="00402E98">
              <w:rPr>
                <w:rFonts w:ascii="仿宋" w:eastAsia="仿宋" w:hAnsi="仿宋" w:hint="eastAsia"/>
                <w:sz w:val="32"/>
                <w:szCs w:val="32"/>
              </w:rPr>
              <w:t>专门成立了绩效评价工作小组，由局长廖荣发任组长；成员由谢春燕、杨盛、杨青组成。对各项工作专门安排人员把关，数量和质量都有了提高。</w:t>
            </w:r>
          </w:p>
        </w:tc>
      </w:tr>
      <w:tr w:rsidR="00BE7400" w:rsidRPr="00402E98" w:rsidTr="00164453">
        <w:trPr>
          <w:trHeight w:val="333"/>
        </w:trPr>
        <w:tc>
          <w:tcPr>
            <w:tcW w:w="8760" w:type="dxa"/>
            <w:tcBorders>
              <w:top w:val="nil"/>
              <w:left w:val="nil"/>
              <w:bottom w:val="nil"/>
              <w:right w:val="nil"/>
            </w:tcBorders>
            <w:tcMar>
              <w:top w:w="15" w:type="dxa"/>
              <w:left w:w="15" w:type="dxa"/>
              <w:right w:w="15" w:type="dxa"/>
            </w:tcMar>
            <w:vAlign w:val="center"/>
          </w:tcPr>
          <w:p w:rsidR="00BE7400" w:rsidRPr="00402E98" w:rsidRDefault="00BE7400" w:rsidP="00164453">
            <w:pPr>
              <w:snapToGrid w:val="0"/>
              <w:spacing w:line="540" w:lineRule="exact"/>
              <w:ind w:firstLineChars="200" w:firstLine="640"/>
              <w:rPr>
                <w:rFonts w:ascii="仿宋" w:eastAsia="仿宋" w:hAnsi="仿宋" w:cs="仿宋_GB2312"/>
                <w:color w:val="000000"/>
                <w:kern w:val="0"/>
                <w:sz w:val="32"/>
                <w:szCs w:val="32"/>
              </w:rPr>
            </w:pPr>
            <w:r w:rsidRPr="00402E98">
              <w:rPr>
                <w:rFonts w:ascii="仿宋" w:eastAsia="仿宋" w:hAnsi="仿宋" w:cs="仿宋_GB2312" w:hint="eastAsia"/>
                <w:color w:val="000000"/>
                <w:kern w:val="0"/>
                <w:sz w:val="32"/>
                <w:szCs w:val="32"/>
              </w:rPr>
              <w:t>（五）当年部门（单位）预算及执行情况。</w:t>
            </w:r>
          </w:p>
          <w:p w:rsidR="00BE7400" w:rsidRPr="00402E98" w:rsidRDefault="00BE7400" w:rsidP="007A574B">
            <w:pPr>
              <w:snapToGrid w:val="0"/>
              <w:spacing w:line="540" w:lineRule="exact"/>
              <w:ind w:firstLineChars="200" w:firstLine="640"/>
              <w:rPr>
                <w:rFonts w:ascii="仿宋" w:eastAsia="仿宋" w:hAnsi="仿宋"/>
                <w:sz w:val="32"/>
                <w:szCs w:val="32"/>
              </w:rPr>
            </w:pPr>
            <w:r w:rsidRPr="00402E98">
              <w:rPr>
                <w:rFonts w:ascii="仿宋" w:eastAsia="仿宋" w:hAnsi="仿宋" w:hint="eastAsia"/>
                <w:sz w:val="32"/>
                <w:szCs w:val="32"/>
              </w:rPr>
              <w:t>当年总收入</w:t>
            </w:r>
            <w:r w:rsidR="00F94D3F">
              <w:rPr>
                <w:rFonts w:ascii="仿宋" w:eastAsia="仿宋" w:hAnsi="仿宋" w:hint="eastAsia"/>
                <w:sz w:val="32"/>
                <w:szCs w:val="32"/>
              </w:rPr>
              <w:t>93.69</w:t>
            </w:r>
            <w:r w:rsidRPr="00402E98">
              <w:rPr>
                <w:rFonts w:ascii="仿宋" w:eastAsia="仿宋" w:hAnsi="仿宋" w:hint="eastAsia"/>
                <w:sz w:val="32"/>
                <w:szCs w:val="32"/>
              </w:rPr>
              <w:t>万元，其中财政拨款收入</w:t>
            </w:r>
            <w:r w:rsidR="00E36E13">
              <w:rPr>
                <w:rFonts w:ascii="仿宋" w:eastAsia="仿宋" w:hAnsi="仿宋" w:hint="eastAsia"/>
                <w:sz w:val="32"/>
                <w:szCs w:val="32"/>
              </w:rPr>
              <w:t>65.13</w:t>
            </w:r>
            <w:r w:rsidRPr="00402E98">
              <w:rPr>
                <w:rFonts w:ascii="仿宋" w:eastAsia="仿宋" w:hAnsi="仿宋" w:hint="eastAsia"/>
                <w:sz w:val="32"/>
                <w:szCs w:val="32"/>
              </w:rPr>
              <w:t>万元，比预算数少</w:t>
            </w:r>
            <w:r w:rsidR="00E36E13">
              <w:rPr>
                <w:rFonts w:ascii="仿宋" w:eastAsia="仿宋" w:hAnsi="仿宋" w:hint="eastAsia"/>
                <w:sz w:val="32"/>
                <w:szCs w:val="32"/>
              </w:rPr>
              <w:t>4.36</w:t>
            </w:r>
            <w:r w:rsidRPr="00402E98">
              <w:rPr>
                <w:rFonts w:ascii="仿宋" w:eastAsia="仿宋" w:hAnsi="仿宋" w:hint="eastAsia"/>
                <w:sz w:val="32"/>
                <w:szCs w:val="32"/>
              </w:rPr>
              <w:t>万元，少</w:t>
            </w:r>
            <w:r w:rsidR="00E36E13">
              <w:rPr>
                <w:rFonts w:ascii="仿宋" w:eastAsia="仿宋" w:hAnsi="仿宋" w:hint="eastAsia"/>
                <w:sz w:val="32"/>
                <w:szCs w:val="32"/>
              </w:rPr>
              <w:t>6.27</w:t>
            </w:r>
            <w:r w:rsidRPr="00402E98">
              <w:rPr>
                <w:rFonts w:ascii="仿宋" w:eastAsia="仿宋" w:hAnsi="仿宋" w:hint="eastAsia"/>
                <w:sz w:val="32"/>
                <w:szCs w:val="32"/>
              </w:rPr>
              <w:t>%，主要是</w:t>
            </w:r>
            <w:r w:rsidR="00E36E13">
              <w:rPr>
                <w:rFonts w:ascii="仿宋" w:eastAsia="仿宋" w:hAnsi="仿宋" w:hint="eastAsia"/>
                <w:sz w:val="32"/>
                <w:szCs w:val="32"/>
              </w:rPr>
              <w:t>经开区园区内非税收入减少</w:t>
            </w:r>
            <w:r w:rsidRPr="00402E98">
              <w:rPr>
                <w:rFonts w:ascii="仿宋" w:eastAsia="仿宋" w:hAnsi="仿宋" w:hint="eastAsia"/>
                <w:sz w:val="32"/>
                <w:szCs w:val="32"/>
              </w:rPr>
              <w:t>。全年支出</w:t>
            </w:r>
            <w:r w:rsidR="00E36E13">
              <w:rPr>
                <w:rFonts w:ascii="仿宋" w:eastAsia="仿宋" w:hAnsi="仿宋" w:hint="eastAsia"/>
                <w:sz w:val="32"/>
                <w:szCs w:val="32"/>
              </w:rPr>
              <w:t>67.14</w:t>
            </w:r>
            <w:r w:rsidRPr="00402E98">
              <w:rPr>
                <w:rFonts w:ascii="仿宋" w:eastAsia="仿宋" w:hAnsi="仿宋" w:hint="eastAsia"/>
                <w:sz w:val="32"/>
                <w:szCs w:val="32"/>
              </w:rPr>
              <w:t>万元，主要用于社会保险和就业支出</w:t>
            </w:r>
            <w:r w:rsidR="00E36E13">
              <w:rPr>
                <w:rFonts w:ascii="仿宋" w:eastAsia="仿宋" w:hAnsi="仿宋" w:hint="eastAsia"/>
                <w:sz w:val="32"/>
                <w:szCs w:val="32"/>
              </w:rPr>
              <w:t>9.98</w:t>
            </w:r>
            <w:r w:rsidRPr="00402E98">
              <w:rPr>
                <w:rFonts w:ascii="仿宋" w:eastAsia="仿宋" w:hAnsi="仿宋" w:hint="eastAsia"/>
                <w:sz w:val="32"/>
                <w:szCs w:val="32"/>
              </w:rPr>
              <w:t>万元、比预算多</w:t>
            </w:r>
            <w:r w:rsidR="00E36E13">
              <w:rPr>
                <w:rFonts w:ascii="仿宋" w:eastAsia="仿宋" w:hAnsi="仿宋" w:hint="eastAsia"/>
                <w:sz w:val="32"/>
                <w:szCs w:val="32"/>
              </w:rPr>
              <w:t>5.68</w:t>
            </w:r>
            <w:r w:rsidRPr="00402E98">
              <w:rPr>
                <w:rFonts w:ascii="仿宋" w:eastAsia="仿宋" w:hAnsi="仿宋" w:hint="eastAsia"/>
                <w:sz w:val="32"/>
                <w:szCs w:val="32"/>
              </w:rPr>
              <w:t>万元、增</w:t>
            </w:r>
            <w:r w:rsidR="00E36E13">
              <w:rPr>
                <w:rFonts w:ascii="仿宋" w:eastAsia="仿宋" w:hAnsi="仿宋" w:hint="eastAsia"/>
                <w:sz w:val="32"/>
                <w:szCs w:val="32"/>
              </w:rPr>
              <w:t>132.09</w:t>
            </w:r>
            <w:r w:rsidRPr="00402E98">
              <w:rPr>
                <w:rFonts w:ascii="仿宋" w:eastAsia="仿宋" w:hAnsi="仿宋" w:hint="eastAsia"/>
                <w:sz w:val="32"/>
                <w:szCs w:val="32"/>
              </w:rPr>
              <w:t>%，主要是补缴上年度环卫保洁员养老保险财政配套资金，城乡社区支出</w:t>
            </w:r>
            <w:r w:rsidR="00E36E13">
              <w:rPr>
                <w:rFonts w:ascii="仿宋" w:eastAsia="仿宋" w:hAnsi="仿宋" w:hint="eastAsia"/>
                <w:sz w:val="32"/>
                <w:szCs w:val="32"/>
              </w:rPr>
              <w:t>55.43</w:t>
            </w:r>
            <w:r w:rsidRPr="00402E98">
              <w:rPr>
                <w:rFonts w:ascii="仿宋" w:eastAsia="仿宋" w:hAnsi="仿宋" w:hint="eastAsia"/>
                <w:sz w:val="32"/>
                <w:szCs w:val="32"/>
              </w:rPr>
              <w:t>万元，比预算少</w:t>
            </w:r>
            <w:r w:rsidR="00E36E13">
              <w:rPr>
                <w:rFonts w:ascii="仿宋" w:eastAsia="仿宋" w:hAnsi="仿宋" w:hint="eastAsia"/>
                <w:sz w:val="32"/>
                <w:szCs w:val="32"/>
              </w:rPr>
              <w:t>38.54</w:t>
            </w:r>
            <w:r w:rsidRPr="00402E98">
              <w:rPr>
                <w:rFonts w:ascii="仿宋" w:eastAsia="仿宋" w:hAnsi="仿宋" w:hint="eastAsia"/>
                <w:sz w:val="32"/>
                <w:szCs w:val="32"/>
              </w:rPr>
              <w:t>万元、少</w:t>
            </w:r>
            <w:r w:rsidR="00E36E13">
              <w:rPr>
                <w:rFonts w:ascii="仿宋" w:eastAsia="仿宋" w:hAnsi="仿宋" w:hint="eastAsia"/>
                <w:sz w:val="32"/>
                <w:szCs w:val="32"/>
              </w:rPr>
              <w:t>41.01</w:t>
            </w:r>
            <w:r w:rsidRPr="00402E98">
              <w:rPr>
                <w:rFonts w:ascii="仿宋" w:eastAsia="仿宋" w:hAnsi="仿宋" w:hint="eastAsia"/>
                <w:sz w:val="32"/>
                <w:szCs w:val="32"/>
              </w:rPr>
              <w:t>%，主要是保洁</w:t>
            </w:r>
            <w:r w:rsidR="00E36E13">
              <w:rPr>
                <w:rFonts w:ascii="仿宋" w:eastAsia="仿宋" w:hAnsi="仿宋" w:hint="eastAsia"/>
                <w:sz w:val="32"/>
                <w:szCs w:val="32"/>
              </w:rPr>
              <w:t>车辆运行经费减少</w:t>
            </w:r>
            <w:r w:rsidRPr="00402E98">
              <w:rPr>
                <w:rFonts w:ascii="仿宋" w:eastAsia="仿宋" w:hAnsi="仿宋" w:hint="eastAsia"/>
                <w:sz w:val="32"/>
                <w:szCs w:val="32"/>
              </w:rPr>
              <w:t>；</w:t>
            </w:r>
            <w:r w:rsidR="00E36E13">
              <w:rPr>
                <w:rFonts w:ascii="仿宋" w:eastAsia="仿宋" w:hAnsi="仿宋" w:hint="eastAsia"/>
                <w:sz w:val="32"/>
                <w:szCs w:val="32"/>
              </w:rPr>
              <w:t>一般公共服务支出0万元，预算数0.54万元，由财政直接拨入总工会。</w:t>
            </w:r>
            <w:r w:rsidR="007A574B">
              <w:rPr>
                <w:rFonts w:ascii="仿宋" w:eastAsia="仿宋" w:hAnsi="仿宋" w:hint="eastAsia"/>
                <w:sz w:val="32"/>
                <w:szCs w:val="32"/>
              </w:rPr>
              <w:t>卫生健康支出1.72万元</w:t>
            </w:r>
            <w:r w:rsidRPr="00402E98">
              <w:rPr>
                <w:rFonts w:ascii="仿宋" w:eastAsia="仿宋" w:hAnsi="仿宋" w:hint="eastAsia"/>
                <w:sz w:val="32"/>
                <w:szCs w:val="32"/>
              </w:rPr>
              <w:t>，</w:t>
            </w:r>
            <w:r w:rsidR="007A574B" w:rsidRPr="00402E98">
              <w:rPr>
                <w:rFonts w:ascii="仿宋" w:eastAsia="仿宋" w:hAnsi="仿宋" w:hint="eastAsia"/>
                <w:sz w:val="32"/>
                <w:szCs w:val="32"/>
              </w:rPr>
              <w:t>比预算</w:t>
            </w:r>
            <w:r w:rsidR="007A574B">
              <w:rPr>
                <w:rFonts w:ascii="仿宋" w:eastAsia="仿宋" w:hAnsi="仿宋" w:hint="eastAsia"/>
                <w:sz w:val="32"/>
                <w:szCs w:val="32"/>
              </w:rPr>
              <w:t>多0.13</w:t>
            </w:r>
            <w:r w:rsidR="007A574B" w:rsidRPr="00402E98">
              <w:rPr>
                <w:rFonts w:ascii="仿宋" w:eastAsia="仿宋" w:hAnsi="仿宋" w:hint="eastAsia"/>
                <w:sz w:val="32"/>
                <w:szCs w:val="32"/>
              </w:rPr>
              <w:t>万元、</w:t>
            </w:r>
            <w:r w:rsidR="007A574B">
              <w:rPr>
                <w:rFonts w:ascii="仿宋" w:eastAsia="仿宋" w:hAnsi="仿宋" w:hint="eastAsia"/>
                <w:sz w:val="32"/>
                <w:szCs w:val="32"/>
              </w:rPr>
              <w:t>多8.12</w:t>
            </w:r>
            <w:r w:rsidR="007A574B" w:rsidRPr="00402E98">
              <w:rPr>
                <w:rFonts w:ascii="仿宋" w:eastAsia="仿宋" w:hAnsi="仿宋" w:hint="eastAsia"/>
                <w:sz w:val="32"/>
                <w:szCs w:val="32"/>
              </w:rPr>
              <w:t>%</w:t>
            </w:r>
            <w:r w:rsidRPr="00402E98">
              <w:rPr>
                <w:rFonts w:ascii="仿宋" w:eastAsia="仿宋" w:hAnsi="仿宋" w:hint="eastAsia"/>
                <w:sz w:val="32"/>
                <w:szCs w:val="32"/>
              </w:rPr>
              <w:t>，</w:t>
            </w:r>
            <w:r w:rsidR="007A574B">
              <w:rPr>
                <w:rFonts w:ascii="仿宋" w:eastAsia="仿宋" w:hAnsi="仿宋" w:hint="eastAsia"/>
                <w:sz w:val="32"/>
                <w:szCs w:val="32"/>
              </w:rPr>
              <w:t>单位职工增加1人，造成支出增加；</w:t>
            </w:r>
            <w:r w:rsidRPr="00402E98">
              <w:rPr>
                <w:rFonts w:ascii="仿宋" w:eastAsia="仿宋" w:hAnsi="仿宋" w:hint="eastAsia"/>
                <w:sz w:val="32"/>
                <w:szCs w:val="32"/>
              </w:rPr>
              <w:t>住房保障支出为0万元，比预算减少100%、主要是预算时职工住房公积金列部门预算，支出时全市全部转入住房公积金中心，未通过部门支出。</w:t>
            </w:r>
          </w:p>
        </w:tc>
      </w:tr>
      <w:tr w:rsidR="00BE7400" w:rsidRPr="00402E98" w:rsidTr="00164453">
        <w:trPr>
          <w:trHeight w:val="333"/>
        </w:trPr>
        <w:tc>
          <w:tcPr>
            <w:tcW w:w="8760" w:type="dxa"/>
            <w:tcBorders>
              <w:top w:val="nil"/>
              <w:left w:val="nil"/>
              <w:bottom w:val="nil"/>
              <w:right w:val="nil"/>
            </w:tcBorders>
            <w:tcMar>
              <w:top w:w="15" w:type="dxa"/>
              <w:left w:w="15" w:type="dxa"/>
              <w:right w:w="15" w:type="dxa"/>
            </w:tcMar>
            <w:vAlign w:val="center"/>
          </w:tcPr>
          <w:p w:rsidR="00BE7400" w:rsidRPr="00402E98" w:rsidRDefault="00BE7400" w:rsidP="00164453">
            <w:pPr>
              <w:widowControl/>
              <w:spacing w:line="540" w:lineRule="exact"/>
              <w:ind w:firstLineChars="200" w:firstLine="640"/>
              <w:textAlignment w:val="center"/>
              <w:rPr>
                <w:rFonts w:ascii="黑体" w:eastAsia="黑体" w:hAnsi="黑体" w:cs="仿宋_GB2312"/>
                <w:color w:val="000000"/>
                <w:sz w:val="32"/>
                <w:szCs w:val="32"/>
              </w:rPr>
            </w:pPr>
            <w:r w:rsidRPr="00402E98">
              <w:rPr>
                <w:rFonts w:ascii="黑体" w:eastAsia="黑体" w:hAnsi="黑体" w:cs="黑体" w:hint="eastAsia"/>
                <w:color w:val="000000"/>
                <w:kern w:val="0"/>
                <w:sz w:val="32"/>
                <w:szCs w:val="32"/>
              </w:rPr>
              <w:t>二、部门（单位）整体支出绩效实现情况</w:t>
            </w:r>
          </w:p>
        </w:tc>
      </w:tr>
      <w:tr w:rsidR="00BE7400" w:rsidRPr="00402E98" w:rsidTr="00164453">
        <w:trPr>
          <w:trHeight w:val="642"/>
        </w:trPr>
        <w:tc>
          <w:tcPr>
            <w:tcW w:w="8760" w:type="dxa"/>
            <w:tcBorders>
              <w:top w:val="nil"/>
              <w:left w:val="nil"/>
              <w:bottom w:val="nil"/>
              <w:right w:val="nil"/>
            </w:tcBorders>
            <w:tcMar>
              <w:top w:w="15" w:type="dxa"/>
              <w:left w:w="15" w:type="dxa"/>
              <w:right w:w="15" w:type="dxa"/>
            </w:tcMar>
            <w:vAlign w:val="center"/>
          </w:tcPr>
          <w:p w:rsidR="00BE7400" w:rsidRPr="00402E98" w:rsidRDefault="00BE7400" w:rsidP="00164453">
            <w:pPr>
              <w:widowControl/>
              <w:spacing w:line="540" w:lineRule="exact"/>
              <w:ind w:firstLineChars="200" w:firstLine="640"/>
              <w:textAlignment w:val="center"/>
              <w:rPr>
                <w:rFonts w:ascii="仿宋" w:eastAsia="仿宋" w:hAnsi="仿宋" w:cs="仿宋_GB2312"/>
                <w:color w:val="000000"/>
                <w:kern w:val="0"/>
                <w:sz w:val="32"/>
                <w:szCs w:val="32"/>
              </w:rPr>
            </w:pPr>
            <w:r w:rsidRPr="00402E98">
              <w:rPr>
                <w:rFonts w:ascii="仿宋" w:eastAsia="仿宋" w:hAnsi="仿宋" w:cs="仿宋_GB2312" w:hint="eastAsia"/>
                <w:color w:val="000000"/>
                <w:kern w:val="0"/>
                <w:sz w:val="32"/>
                <w:szCs w:val="32"/>
              </w:rPr>
              <w:t>（一） 履职完成情况：从数量、质量、时效等方面归纳反</w:t>
            </w:r>
            <w:r w:rsidRPr="00402E98">
              <w:rPr>
                <w:rFonts w:ascii="仿宋" w:eastAsia="仿宋" w:hAnsi="仿宋" w:cs="仿宋_GB2312" w:hint="eastAsia"/>
                <w:color w:val="000000"/>
                <w:kern w:val="0"/>
                <w:sz w:val="32"/>
                <w:szCs w:val="32"/>
              </w:rPr>
              <w:lastRenderedPageBreak/>
              <w:t>映年度主要计划任务完成情况。</w:t>
            </w:r>
          </w:p>
          <w:p w:rsidR="00BE7400" w:rsidRPr="00402E98" w:rsidRDefault="00BE7400" w:rsidP="00164453">
            <w:pPr>
              <w:widowControl/>
              <w:spacing w:line="540" w:lineRule="exact"/>
              <w:ind w:firstLineChars="200" w:firstLine="640"/>
              <w:textAlignment w:val="center"/>
              <w:rPr>
                <w:rFonts w:ascii="仿宋" w:eastAsia="仿宋" w:hAnsi="仿宋" w:cs="仿宋_GB2312"/>
                <w:color w:val="000000"/>
                <w:sz w:val="32"/>
                <w:szCs w:val="32"/>
              </w:rPr>
            </w:pPr>
            <w:r w:rsidRPr="00402E98">
              <w:rPr>
                <w:rFonts w:ascii="仿宋" w:eastAsia="仿宋" w:hAnsi="仿宋" w:hint="eastAsia"/>
                <w:sz w:val="32"/>
                <w:szCs w:val="32"/>
              </w:rPr>
              <w:t xml:space="preserve">整体支出绩效实施以来，我局高度重视专门成立了绩效评价工作小组，对各项工作专门安排人员把关，数量和质量都有了提高。  </w:t>
            </w:r>
          </w:p>
        </w:tc>
      </w:tr>
      <w:tr w:rsidR="00BE7400" w:rsidRPr="00402E98" w:rsidTr="00164453">
        <w:trPr>
          <w:trHeight w:val="642"/>
        </w:trPr>
        <w:tc>
          <w:tcPr>
            <w:tcW w:w="8760" w:type="dxa"/>
            <w:tcBorders>
              <w:top w:val="nil"/>
              <w:left w:val="nil"/>
              <w:bottom w:val="nil"/>
              <w:right w:val="nil"/>
            </w:tcBorders>
            <w:tcMar>
              <w:top w:w="15" w:type="dxa"/>
              <w:left w:w="15" w:type="dxa"/>
              <w:right w:w="15" w:type="dxa"/>
            </w:tcMar>
            <w:vAlign w:val="center"/>
          </w:tcPr>
          <w:p w:rsidR="00BE7400" w:rsidRPr="00402E98" w:rsidRDefault="00BE7400" w:rsidP="00164453">
            <w:pPr>
              <w:widowControl/>
              <w:spacing w:line="540" w:lineRule="exact"/>
              <w:ind w:firstLineChars="200" w:firstLine="640"/>
              <w:textAlignment w:val="center"/>
              <w:rPr>
                <w:rFonts w:ascii="仿宋" w:eastAsia="仿宋" w:hAnsi="仿宋" w:cs="仿宋_GB2312"/>
                <w:color w:val="000000"/>
                <w:kern w:val="0"/>
                <w:sz w:val="32"/>
                <w:szCs w:val="32"/>
              </w:rPr>
            </w:pPr>
            <w:r w:rsidRPr="00402E98">
              <w:rPr>
                <w:rFonts w:ascii="仿宋" w:eastAsia="仿宋" w:hAnsi="仿宋" w:cs="仿宋_GB2312" w:hint="eastAsia"/>
                <w:color w:val="000000"/>
                <w:kern w:val="0"/>
                <w:sz w:val="32"/>
                <w:szCs w:val="32"/>
              </w:rPr>
              <w:lastRenderedPageBreak/>
              <w:t>（二）履职效果情况：从社会效益、经济效益（如有）、生态效益（如有）等方面反映部门（单位）履职效果的实现情况。</w:t>
            </w:r>
          </w:p>
          <w:p w:rsidR="00BE7400" w:rsidRPr="00402E98" w:rsidRDefault="00BE7400" w:rsidP="00164453">
            <w:pPr>
              <w:widowControl/>
              <w:spacing w:line="540" w:lineRule="exact"/>
              <w:ind w:firstLineChars="200" w:firstLine="640"/>
              <w:textAlignment w:val="center"/>
              <w:rPr>
                <w:rFonts w:ascii="仿宋" w:eastAsia="仿宋" w:hAnsi="仿宋" w:cs="仿宋_GB2312"/>
                <w:color w:val="000000"/>
                <w:sz w:val="32"/>
                <w:szCs w:val="32"/>
              </w:rPr>
            </w:pPr>
            <w:r w:rsidRPr="00402E98">
              <w:rPr>
                <w:rFonts w:ascii="仿宋" w:eastAsia="仿宋" w:hAnsi="仿宋" w:hint="eastAsia"/>
                <w:sz w:val="32"/>
                <w:szCs w:val="32"/>
              </w:rPr>
              <w:t>整体支出绩效实施以来，在市委、政府的领导下，我局工作进一步提升了管理水平，城市品味也提高了，得到市民的一致好评。</w:t>
            </w:r>
          </w:p>
        </w:tc>
      </w:tr>
      <w:tr w:rsidR="00BE7400" w:rsidRPr="00402E98" w:rsidTr="00164453">
        <w:trPr>
          <w:trHeight w:val="333"/>
        </w:trPr>
        <w:tc>
          <w:tcPr>
            <w:tcW w:w="8760" w:type="dxa"/>
            <w:tcBorders>
              <w:top w:val="nil"/>
              <w:left w:val="nil"/>
              <w:bottom w:val="nil"/>
              <w:right w:val="nil"/>
            </w:tcBorders>
            <w:tcMar>
              <w:top w:w="15" w:type="dxa"/>
              <w:left w:w="15" w:type="dxa"/>
              <w:right w:w="15" w:type="dxa"/>
            </w:tcMar>
            <w:vAlign w:val="center"/>
          </w:tcPr>
          <w:p w:rsidR="00BE7400" w:rsidRPr="00402E98" w:rsidRDefault="00BE7400" w:rsidP="00164453">
            <w:pPr>
              <w:widowControl/>
              <w:spacing w:line="540" w:lineRule="exact"/>
              <w:ind w:firstLineChars="200" w:firstLine="640"/>
              <w:textAlignment w:val="center"/>
              <w:rPr>
                <w:rFonts w:ascii="仿宋" w:eastAsia="仿宋" w:hAnsi="仿宋" w:cs="仿宋_GB2312"/>
                <w:color w:val="000000"/>
                <w:kern w:val="0"/>
                <w:sz w:val="32"/>
                <w:szCs w:val="32"/>
              </w:rPr>
            </w:pPr>
            <w:r w:rsidRPr="00402E98">
              <w:rPr>
                <w:rFonts w:ascii="仿宋" w:eastAsia="仿宋" w:hAnsi="仿宋" w:cs="仿宋_GB2312" w:hint="eastAsia"/>
                <w:color w:val="000000"/>
                <w:kern w:val="0"/>
                <w:sz w:val="32"/>
                <w:szCs w:val="32"/>
              </w:rPr>
              <w:t>（三）社会满意度及可持续性影响（如有）</w:t>
            </w:r>
          </w:p>
          <w:p w:rsidR="00BE7400" w:rsidRPr="00402E98" w:rsidRDefault="00BE7400" w:rsidP="00164453">
            <w:pPr>
              <w:widowControl/>
              <w:spacing w:line="540" w:lineRule="exact"/>
              <w:ind w:firstLineChars="200" w:firstLine="640"/>
              <w:textAlignment w:val="center"/>
              <w:rPr>
                <w:rFonts w:ascii="仿宋" w:eastAsia="仿宋" w:hAnsi="仿宋" w:cs="仿宋_GB2312"/>
                <w:color w:val="000000"/>
                <w:sz w:val="32"/>
                <w:szCs w:val="32"/>
              </w:rPr>
            </w:pPr>
            <w:r w:rsidRPr="00402E98">
              <w:rPr>
                <w:rFonts w:ascii="仿宋" w:eastAsia="仿宋" w:hAnsi="仿宋" w:hint="eastAsia"/>
                <w:sz w:val="32"/>
                <w:szCs w:val="32"/>
              </w:rPr>
              <w:t>整体支出绩效实施以来，我局改善了工作方法，城市环境得到很大改善，人居环境和城市品味也提高了，市民出行更安全了，市民满意度增加了。</w:t>
            </w:r>
          </w:p>
        </w:tc>
      </w:tr>
      <w:tr w:rsidR="00BE7400" w:rsidRPr="00402E98" w:rsidTr="00164453">
        <w:trPr>
          <w:trHeight w:val="333"/>
        </w:trPr>
        <w:tc>
          <w:tcPr>
            <w:tcW w:w="8760" w:type="dxa"/>
            <w:tcBorders>
              <w:top w:val="nil"/>
              <w:left w:val="nil"/>
              <w:bottom w:val="nil"/>
              <w:right w:val="nil"/>
            </w:tcBorders>
            <w:tcMar>
              <w:top w:w="15" w:type="dxa"/>
              <w:left w:w="15" w:type="dxa"/>
              <w:right w:w="15" w:type="dxa"/>
            </w:tcMar>
            <w:vAlign w:val="center"/>
          </w:tcPr>
          <w:p w:rsidR="00BE7400" w:rsidRPr="00402E98" w:rsidRDefault="00BE7400" w:rsidP="00164453">
            <w:pPr>
              <w:widowControl/>
              <w:spacing w:line="540" w:lineRule="exact"/>
              <w:ind w:firstLineChars="200" w:firstLine="640"/>
              <w:textAlignment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三、</w:t>
            </w:r>
            <w:r w:rsidRPr="00402E98">
              <w:rPr>
                <w:rFonts w:ascii="黑体" w:eastAsia="黑体" w:hAnsi="黑体" w:cs="黑体" w:hint="eastAsia"/>
                <w:color w:val="000000"/>
                <w:kern w:val="0"/>
                <w:sz w:val="32"/>
                <w:szCs w:val="32"/>
              </w:rPr>
              <w:t>部门（单位）整体支出绩效中存在问题及改进措施</w:t>
            </w:r>
          </w:p>
        </w:tc>
      </w:tr>
      <w:tr w:rsidR="00BE7400" w:rsidRPr="00402E98" w:rsidTr="00164453">
        <w:trPr>
          <w:trHeight w:val="333"/>
        </w:trPr>
        <w:tc>
          <w:tcPr>
            <w:tcW w:w="8760" w:type="dxa"/>
            <w:tcBorders>
              <w:top w:val="nil"/>
              <w:left w:val="nil"/>
              <w:bottom w:val="nil"/>
              <w:right w:val="nil"/>
            </w:tcBorders>
            <w:tcMar>
              <w:top w:w="15" w:type="dxa"/>
              <w:left w:w="15" w:type="dxa"/>
              <w:right w:w="15" w:type="dxa"/>
            </w:tcMar>
            <w:vAlign w:val="center"/>
          </w:tcPr>
          <w:p w:rsidR="00BE7400" w:rsidRPr="00402E98" w:rsidRDefault="00BE7400" w:rsidP="00164453">
            <w:pPr>
              <w:spacing w:line="540" w:lineRule="exact"/>
              <w:ind w:firstLineChars="200" w:firstLine="640"/>
              <w:contextualSpacing/>
              <w:rPr>
                <w:rFonts w:ascii="仿宋" w:eastAsia="仿宋" w:hAnsi="仿宋" w:cs="宋体"/>
                <w:color w:val="000000"/>
                <w:kern w:val="0"/>
                <w:sz w:val="32"/>
                <w:szCs w:val="32"/>
              </w:rPr>
            </w:pPr>
            <w:r w:rsidRPr="00402E98">
              <w:rPr>
                <w:rFonts w:ascii="仿宋" w:eastAsia="仿宋" w:hAnsi="仿宋" w:cs="宋体" w:hint="eastAsia"/>
                <w:color w:val="000000"/>
                <w:kern w:val="0"/>
                <w:sz w:val="32"/>
                <w:szCs w:val="32"/>
              </w:rPr>
              <w:t>（一）整体支出绩效中存在问题</w:t>
            </w:r>
          </w:p>
          <w:p w:rsidR="00BE7400" w:rsidRPr="00402E98" w:rsidRDefault="00BE7400" w:rsidP="00164453">
            <w:pPr>
              <w:spacing w:line="540" w:lineRule="exact"/>
              <w:ind w:firstLineChars="200" w:firstLine="640"/>
              <w:contextualSpacing/>
              <w:rPr>
                <w:rFonts w:ascii="仿宋" w:eastAsia="仿宋" w:hAnsi="仿宋"/>
                <w:sz w:val="32"/>
                <w:szCs w:val="32"/>
              </w:rPr>
            </w:pPr>
            <w:r w:rsidRPr="00402E98">
              <w:rPr>
                <w:rFonts w:ascii="仿宋" w:eastAsia="仿宋" w:hAnsi="仿宋" w:hint="eastAsia"/>
                <w:sz w:val="32"/>
                <w:szCs w:val="32"/>
              </w:rPr>
              <w:t>1、财政预算人员经费远不能满足单位实际开支的需要，特别是奖励性工资，存在人员经费严重不足问题。</w:t>
            </w:r>
          </w:p>
          <w:p w:rsidR="00BE7400" w:rsidRPr="00402E98" w:rsidRDefault="00BE7400" w:rsidP="00164453">
            <w:pPr>
              <w:spacing w:line="540" w:lineRule="exact"/>
              <w:ind w:firstLineChars="200" w:firstLine="640"/>
              <w:contextualSpacing/>
              <w:rPr>
                <w:rFonts w:ascii="仿宋" w:eastAsia="仿宋" w:hAnsi="仿宋" w:cs="仿宋_GB2312"/>
                <w:sz w:val="32"/>
                <w:szCs w:val="32"/>
              </w:rPr>
            </w:pPr>
            <w:r w:rsidRPr="00402E98">
              <w:rPr>
                <w:rFonts w:ascii="仿宋" w:eastAsia="仿宋" w:hAnsi="仿宋" w:hint="eastAsia"/>
                <w:sz w:val="32"/>
                <w:szCs w:val="32"/>
              </w:rPr>
              <w:t>2、</w:t>
            </w:r>
            <w:r w:rsidRPr="00402E98">
              <w:rPr>
                <w:rFonts w:ascii="仿宋" w:eastAsia="仿宋" w:hAnsi="仿宋" w:cs="仿宋_GB2312" w:hint="eastAsia"/>
                <w:sz w:val="32"/>
                <w:szCs w:val="32"/>
              </w:rPr>
              <w:t>缺乏科学的资金预算管理，首先是单位对资金预算的前期准备工作缺乏计划，造成资金的预算与实际支出有很大差距。</w:t>
            </w:r>
          </w:p>
          <w:p w:rsidR="00BE7400" w:rsidRPr="00402E98" w:rsidRDefault="00BE7400" w:rsidP="00164453">
            <w:pPr>
              <w:spacing w:line="540" w:lineRule="exact"/>
              <w:ind w:firstLineChars="200" w:firstLine="640"/>
              <w:contextualSpacing/>
              <w:rPr>
                <w:rFonts w:ascii="仿宋" w:eastAsia="仿宋" w:hAnsi="仿宋" w:cs="仿宋_GB2312"/>
                <w:sz w:val="32"/>
                <w:szCs w:val="32"/>
              </w:rPr>
            </w:pPr>
            <w:r w:rsidRPr="00402E98">
              <w:rPr>
                <w:rFonts w:ascii="仿宋" w:eastAsia="仿宋" w:hAnsi="仿宋" w:cs="仿宋_GB2312" w:hint="eastAsia"/>
                <w:sz w:val="32"/>
                <w:szCs w:val="32"/>
              </w:rPr>
              <w:t>3、财务制度及经费管理制度有待完善，在</w:t>
            </w:r>
            <w:r w:rsidRPr="00402E98">
              <w:rPr>
                <w:rFonts w:ascii="仿宋" w:eastAsia="仿宋" w:hAnsi="仿宋" w:cs="仿宋_GB2312" w:hint="eastAsia"/>
                <w:color w:val="000000"/>
                <w:sz w:val="32"/>
                <w:szCs w:val="32"/>
              </w:rPr>
              <w:t>资金使用管理上逐步加强，单位支出要严格按照国家财经法规和财务管理制度规定执行，正确组织资金的筹集、调度和使用。做到有章可循，按制办事，以堵塞漏洞，节约资金，最大限度地提高各项资金的使用效益。</w:t>
            </w:r>
          </w:p>
          <w:p w:rsidR="00BE7400" w:rsidRPr="00402E98" w:rsidRDefault="00BE7400" w:rsidP="00164453">
            <w:pPr>
              <w:widowControl/>
              <w:spacing w:line="540" w:lineRule="exact"/>
              <w:ind w:firstLineChars="200" w:firstLine="640"/>
              <w:textAlignment w:val="center"/>
              <w:rPr>
                <w:rFonts w:ascii="仿宋" w:eastAsia="仿宋" w:hAnsi="仿宋" w:cs="仿宋_GB2312"/>
                <w:color w:val="000000"/>
                <w:sz w:val="32"/>
                <w:szCs w:val="32"/>
              </w:rPr>
            </w:pPr>
          </w:p>
        </w:tc>
      </w:tr>
      <w:tr w:rsidR="00BE7400" w:rsidRPr="00402E98" w:rsidTr="00164453">
        <w:trPr>
          <w:trHeight w:val="333"/>
        </w:trPr>
        <w:tc>
          <w:tcPr>
            <w:tcW w:w="8760" w:type="dxa"/>
            <w:tcBorders>
              <w:top w:val="nil"/>
              <w:left w:val="nil"/>
              <w:bottom w:val="nil"/>
              <w:right w:val="nil"/>
            </w:tcBorders>
            <w:tcMar>
              <w:top w:w="15" w:type="dxa"/>
              <w:left w:w="15" w:type="dxa"/>
              <w:right w:w="15" w:type="dxa"/>
            </w:tcMar>
            <w:vAlign w:val="center"/>
          </w:tcPr>
          <w:p w:rsidR="00BE7400" w:rsidRPr="00402E98" w:rsidRDefault="00BE7400" w:rsidP="00BE7400">
            <w:pPr>
              <w:widowControl/>
              <w:numPr>
                <w:ilvl w:val="0"/>
                <w:numId w:val="1"/>
              </w:numPr>
              <w:spacing w:line="540" w:lineRule="exact"/>
              <w:ind w:left="0" w:firstLineChars="200" w:firstLine="640"/>
              <w:textAlignment w:val="center"/>
              <w:rPr>
                <w:rFonts w:ascii="仿宋" w:eastAsia="仿宋" w:hAnsi="仿宋" w:cs="仿宋_GB2312"/>
                <w:color w:val="000000"/>
                <w:kern w:val="0"/>
                <w:sz w:val="32"/>
                <w:szCs w:val="32"/>
              </w:rPr>
            </w:pPr>
            <w:r w:rsidRPr="00402E98">
              <w:rPr>
                <w:rFonts w:ascii="仿宋" w:eastAsia="仿宋" w:hAnsi="仿宋" w:cs="仿宋_GB2312" w:hint="eastAsia"/>
                <w:color w:val="000000"/>
                <w:kern w:val="0"/>
                <w:sz w:val="32"/>
                <w:szCs w:val="32"/>
              </w:rPr>
              <w:lastRenderedPageBreak/>
              <w:t>改进的方向和具体措施</w:t>
            </w:r>
          </w:p>
          <w:p w:rsidR="00BE7400" w:rsidRPr="00402E98" w:rsidRDefault="00BE7400" w:rsidP="00164453">
            <w:pPr>
              <w:spacing w:line="540" w:lineRule="exact"/>
              <w:ind w:firstLineChars="200" w:firstLine="640"/>
              <w:contextualSpacing/>
              <w:rPr>
                <w:rFonts w:ascii="仿宋" w:eastAsia="仿宋" w:hAnsi="仿宋"/>
                <w:sz w:val="32"/>
                <w:szCs w:val="32"/>
              </w:rPr>
            </w:pPr>
            <w:r w:rsidRPr="00402E98">
              <w:rPr>
                <w:rFonts w:ascii="仿宋" w:eastAsia="仿宋" w:hAnsi="仿宋" w:hint="eastAsia"/>
                <w:sz w:val="32"/>
                <w:szCs w:val="32"/>
              </w:rPr>
              <w:t>1、提高财政预算标准。当前执行的人员经费预算标准远远不能满足预算单位实际工作的需要，建议结合部门实际情况，科学制定和提高预算标准，特别是人员少的单位。</w:t>
            </w:r>
          </w:p>
          <w:p w:rsidR="00BE7400" w:rsidRPr="00402E98" w:rsidRDefault="00BE7400" w:rsidP="00164453">
            <w:pPr>
              <w:spacing w:line="540" w:lineRule="exact"/>
              <w:ind w:firstLineChars="200" w:firstLine="640"/>
              <w:contextualSpacing/>
              <w:rPr>
                <w:rFonts w:ascii="仿宋" w:eastAsia="仿宋" w:hAnsi="仿宋"/>
                <w:sz w:val="32"/>
                <w:szCs w:val="32"/>
              </w:rPr>
            </w:pPr>
            <w:r w:rsidRPr="00402E98">
              <w:rPr>
                <w:rFonts w:ascii="仿宋" w:eastAsia="仿宋" w:hAnsi="仿宋" w:hint="eastAsia"/>
                <w:sz w:val="32"/>
                <w:szCs w:val="32"/>
              </w:rPr>
              <w:t>2、认真执行中央八项规定。继续严格“三公经费”消费管理，压缩经费开支，坚持厉行节约，坚决杜绝公款奢侈浪费。</w:t>
            </w:r>
          </w:p>
          <w:p w:rsidR="00BE7400" w:rsidRPr="00402E98" w:rsidRDefault="00BE7400" w:rsidP="00164453">
            <w:pPr>
              <w:spacing w:line="540" w:lineRule="exact"/>
              <w:ind w:firstLineChars="200" w:firstLine="640"/>
              <w:contextualSpacing/>
              <w:rPr>
                <w:rFonts w:ascii="仿宋" w:eastAsia="仿宋" w:hAnsi="仿宋"/>
                <w:sz w:val="32"/>
                <w:szCs w:val="32"/>
              </w:rPr>
            </w:pPr>
            <w:r w:rsidRPr="00402E98">
              <w:rPr>
                <w:rFonts w:ascii="仿宋" w:eastAsia="仿宋" w:hAnsi="仿宋" w:hint="eastAsia"/>
                <w:sz w:val="32"/>
                <w:szCs w:val="32"/>
              </w:rPr>
              <w:t>3、加强业务培训学习。结合财务工作新形势要求，建议市财政加强对单位财务人员的培训，同时财务人员也应加强业务学习，钻研业务知识，提高业务技能。</w:t>
            </w:r>
          </w:p>
          <w:p w:rsidR="00BE7400" w:rsidRPr="00402E98" w:rsidRDefault="00BE7400" w:rsidP="00164453">
            <w:pPr>
              <w:spacing w:line="540" w:lineRule="exact"/>
              <w:ind w:firstLineChars="200" w:firstLine="640"/>
              <w:contextualSpacing/>
              <w:rPr>
                <w:rFonts w:ascii="仿宋" w:eastAsia="仿宋" w:hAnsi="仿宋"/>
                <w:sz w:val="32"/>
                <w:szCs w:val="32"/>
              </w:rPr>
            </w:pPr>
            <w:r w:rsidRPr="00402E98">
              <w:rPr>
                <w:rFonts w:ascii="仿宋" w:eastAsia="仿宋" w:hAnsi="仿宋" w:hint="eastAsia"/>
                <w:sz w:val="32"/>
                <w:szCs w:val="32"/>
              </w:rPr>
              <w:t>4、严格规范管理。建立健全各项财务制度，做到有法可依，有章可循，实现管理的规范化、制度化。</w:t>
            </w:r>
          </w:p>
        </w:tc>
      </w:tr>
    </w:tbl>
    <w:p w:rsidR="00BE7400" w:rsidRPr="00402E98" w:rsidRDefault="00BE7400" w:rsidP="00BE7400">
      <w:pPr>
        <w:spacing w:line="540" w:lineRule="exact"/>
        <w:ind w:firstLineChars="200" w:firstLine="640"/>
        <w:rPr>
          <w:rFonts w:ascii="仿宋" w:eastAsia="仿宋" w:hAnsi="仿宋" w:cs="仿宋"/>
          <w:sz w:val="32"/>
          <w:szCs w:val="32"/>
        </w:rPr>
      </w:pPr>
    </w:p>
    <w:p w:rsidR="00075AF4" w:rsidRPr="00BE7400" w:rsidRDefault="00075AF4" w:rsidP="00BE7400">
      <w:pPr>
        <w:rPr>
          <w:szCs w:val="32"/>
        </w:rPr>
      </w:pPr>
    </w:p>
    <w:sectPr w:rsidR="00075AF4" w:rsidRPr="00BE7400" w:rsidSect="00075A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9AD" w:rsidRDefault="005D19AD" w:rsidP="00E452E0">
      <w:r>
        <w:separator/>
      </w:r>
    </w:p>
  </w:endnote>
  <w:endnote w:type="continuationSeparator" w:id="1">
    <w:p w:rsidR="005D19AD" w:rsidRDefault="005D19AD" w:rsidP="00E45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9AD" w:rsidRDefault="005D19AD" w:rsidP="00E452E0">
      <w:r>
        <w:separator/>
      </w:r>
    </w:p>
  </w:footnote>
  <w:footnote w:type="continuationSeparator" w:id="1">
    <w:p w:rsidR="005D19AD" w:rsidRDefault="005D19AD" w:rsidP="00E452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FE73F"/>
    <w:multiLevelType w:val="singleLevel"/>
    <w:tmpl w:val="332FE73F"/>
    <w:lvl w:ilvl="0">
      <w:start w:val="2"/>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9BD2AD9"/>
    <w:rsid w:val="00075AF4"/>
    <w:rsid w:val="00171DFE"/>
    <w:rsid w:val="00236CBA"/>
    <w:rsid w:val="003D758F"/>
    <w:rsid w:val="005D19AD"/>
    <w:rsid w:val="006141FB"/>
    <w:rsid w:val="0068357D"/>
    <w:rsid w:val="006D30B1"/>
    <w:rsid w:val="007A574B"/>
    <w:rsid w:val="00B70871"/>
    <w:rsid w:val="00B8730F"/>
    <w:rsid w:val="00BE7400"/>
    <w:rsid w:val="00D85AE7"/>
    <w:rsid w:val="00E36E13"/>
    <w:rsid w:val="00E452E0"/>
    <w:rsid w:val="00E63465"/>
    <w:rsid w:val="00F94D3F"/>
    <w:rsid w:val="59BD2AD9"/>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A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52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52E0"/>
    <w:rPr>
      <w:kern w:val="2"/>
      <w:sz w:val="18"/>
      <w:szCs w:val="18"/>
    </w:rPr>
  </w:style>
  <w:style w:type="paragraph" w:styleId="a4">
    <w:name w:val="footer"/>
    <w:basedOn w:val="a"/>
    <w:link w:val="Char0"/>
    <w:rsid w:val="00E452E0"/>
    <w:pPr>
      <w:tabs>
        <w:tab w:val="center" w:pos="4153"/>
        <w:tab w:val="right" w:pos="8306"/>
      </w:tabs>
      <w:snapToGrid w:val="0"/>
      <w:jc w:val="left"/>
    </w:pPr>
    <w:rPr>
      <w:sz w:val="18"/>
      <w:szCs w:val="18"/>
    </w:rPr>
  </w:style>
  <w:style w:type="character" w:customStyle="1" w:styleId="Char0">
    <w:name w:val="页脚 Char"/>
    <w:basedOn w:val="a0"/>
    <w:link w:val="a4"/>
    <w:rsid w:val="00E452E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42</TotalTime>
  <Pages>4</Pages>
  <Words>298</Words>
  <Characters>1699</Characters>
  <Application>Microsoft Office Word</Application>
  <DocSecurity>0</DocSecurity>
  <Lines>14</Lines>
  <Paragraphs>3</Paragraphs>
  <ScaleCrop>false</ScaleCrop>
  <Company>Microsoft</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2021-06-24T00:47:00Z</dcterms:created>
  <dcterms:modified xsi:type="dcterms:W3CDTF">2021-09-29T02:41:00Z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