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778" w:tblpY="54"/>
        <w:tblOverlap w:val="never"/>
        <w:tblW w:w="9263" w:type="dxa"/>
        <w:tblInd w:w="0" w:type="dxa"/>
        <w:tblLayout w:type="fixed"/>
        <w:tblCellMar>
          <w:top w:w="0" w:type="dxa"/>
          <w:left w:w="0" w:type="dxa"/>
          <w:bottom w:w="0" w:type="dxa"/>
          <w:right w:w="0" w:type="dxa"/>
        </w:tblCellMar>
      </w:tblPr>
      <w:tblGrid>
        <w:gridCol w:w="9263"/>
      </w:tblGrid>
      <w:tr>
        <w:tblPrEx>
          <w:tblCellMar>
            <w:top w:w="0" w:type="dxa"/>
            <w:left w:w="0" w:type="dxa"/>
            <w:bottom w:w="0" w:type="dxa"/>
            <w:right w:w="0" w:type="dxa"/>
          </w:tblCellMar>
        </w:tblPrEx>
        <w:trPr>
          <w:trHeight w:val="465" w:hRule="atLeast"/>
        </w:trPr>
        <w:tc>
          <w:tcPr>
            <w:tcW w:w="9263"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仿宋_GB2312" w:hAnsi="仿宋_GB2312" w:eastAsia="仿宋_GB2312" w:cs="仿宋_GB2312"/>
                <w:sz w:val="32"/>
              </w:rPr>
              <w:t>附件</w:t>
            </w:r>
            <w:r>
              <w:rPr>
                <w:rFonts w:hint="eastAsia" w:ascii="仿宋_GB2312" w:hAnsi="仿宋_GB2312" w:eastAsia="仿宋_GB2312" w:cs="仿宋_GB2312"/>
                <w:spacing w:val="-80"/>
                <w:sz w:val="32"/>
              </w:rPr>
              <w:t xml:space="preserve"> </w:t>
            </w:r>
            <w:r>
              <w:rPr>
                <w:rFonts w:hint="eastAsia" w:ascii="仿宋_GB2312" w:hAnsi="仿宋_GB2312" w:eastAsia="仿宋_GB2312" w:cs="仿宋_GB2312"/>
                <w:sz w:val="32"/>
              </w:rPr>
              <w:t>1</w:t>
            </w:r>
            <w:r>
              <w:rPr>
                <w:rFonts w:hint="eastAsia" w:ascii="黑体" w:eastAsia="黑体"/>
                <w:sz w:val="32"/>
              </w:rPr>
              <w:tab/>
            </w:r>
            <w:r>
              <w:rPr>
                <w:rFonts w:hint="eastAsia" w:ascii="黑体" w:eastAsia="黑体"/>
                <w:sz w:val="32"/>
                <w:lang w:eastAsia="zh-CN"/>
              </w:rPr>
              <w:t>环卫局</w:t>
            </w:r>
            <w:r>
              <w:rPr>
                <w:rFonts w:hint="eastAsia" w:ascii="方正小标宋简体" w:hAnsi="方正小标宋简体" w:eastAsia="方正小标宋简体" w:cs="方正小标宋简体"/>
                <w:i w:val="0"/>
                <w:color w:val="000000"/>
                <w:kern w:val="0"/>
                <w:sz w:val="36"/>
                <w:szCs w:val="36"/>
                <w:u w:val="none"/>
                <w:lang w:val="en-US" w:eastAsia="zh-CN" w:bidi="ar"/>
              </w:rPr>
              <w:t>部门整体支出绩效自评报告</w:t>
            </w:r>
          </w:p>
        </w:tc>
      </w:tr>
      <w:tr>
        <w:tblPrEx>
          <w:tblCellMar>
            <w:top w:w="0" w:type="dxa"/>
            <w:left w:w="0" w:type="dxa"/>
            <w:bottom w:w="0" w:type="dxa"/>
            <w:right w:w="0" w:type="dxa"/>
          </w:tblCellMar>
        </w:tblPrEx>
        <w:trPr>
          <w:trHeight w:val="325" w:hRule="atLeast"/>
        </w:trPr>
        <w:tc>
          <w:tcPr>
            <w:tcW w:w="9263"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仿宋" w:hAnsi="仿宋" w:eastAsia="仿宋" w:cs="仿宋"/>
                <w:i w:val="0"/>
                <w:color w:val="000000"/>
                <w:sz w:val="30"/>
                <w:szCs w:val="30"/>
                <w:u w:val="none"/>
              </w:rPr>
            </w:pPr>
            <w:r>
              <w:rPr>
                <w:rFonts w:hint="eastAsia" w:ascii="仿宋" w:hAnsi="仿宋" w:eastAsia="仿宋" w:cs="仿宋"/>
                <w:i w:val="0"/>
                <w:color w:val="000000"/>
                <w:kern w:val="0"/>
                <w:sz w:val="30"/>
                <w:szCs w:val="30"/>
                <w:u w:val="none"/>
                <w:lang w:val="en-US" w:eastAsia="zh-CN" w:bidi="ar"/>
              </w:rPr>
              <w:t>（2020年度）</w:t>
            </w:r>
          </w:p>
        </w:tc>
      </w:tr>
      <w:tr>
        <w:tblPrEx>
          <w:tblCellMar>
            <w:top w:w="0" w:type="dxa"/>
            <w:left w:w="0" w:type="dxa"/>
            <w:bottom w:w="0" w:type="dxa"/>
            <w:right w:w="0" w:type="dxa"/>
          </w:tblCellMar>
        </w:tblPrEx>
        <w:trPr>
          <w:trHeight w:val="325" w:hRule="atLeast"/>
        </w:trPr>
        <w:tc>
          <w:tcPr>
            <w:tcW w:w="9263"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color w:val="000000"/>
                <w:sz w:val="30"/>
                <w:szCs w:val="30"/>
                <w:u w:val="none"/>
              </w:rPr>
            </w:pPr>
          </w:p>
        </w:tc>
      </w:tr>
      <w:tr>
        <w:tblPrEx>
          <w:tblCellMar>
            <w:top w:w="0" w:type="dxa"/>
            <w:left w:w="0" w:type="dxa"/>
            <w:bottom w:w="0" w:type="dxa"/>
            <w:right w:w="0" w:type="dxa"/>
          </w:tblCellMar>
        </w:tblPrEx>
        <w:trPr>
          <w:trHeight w:val="333" w:hRule="atLeast"/>
        </w:trPr>
        <w:tc>
          <w:tcPr>
            <w:tcW w:w="9263"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center"/>
              <w:rPr>
                <w:rFonts w:hint="eastAsia" w:ascii="仿宋_GB2312" w:hAnsi="仿宋_GB2312"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一、部门（单位）概况</w:t>
            </w:r>
          </w:p>
        </w:tc>
      </w:tr>
      <w:tr>
        <w:tblPrEx>
          <w:tblCellMar>
            <w:top w:w="0" w:type="dxa"/>
            <w:left w:w="0" w:type="dxa"/>
            <w:bottom w:w="0" w:type="dxa"/>
            <w:right w:w="0" w:type="dxa"/>
          </w:tblCellMar>
        </w:tblPrEx>
        <w:trPr>
          <w:trHeight w:val="569" w:hRule="atLeast"/>
        </w:trPr>
        <w:tc>
          <w:tcPr>
            <w:tcW w:w="9263" w:type="dxa"/>
            <w:tcBorders>
              <w:top w:val="nil"/>
              <w:left w:val="nil"/>
              <w:bottom w:val="nil"/>
              <w:right w:val="nil"/>
            </w:tcBorders>
            <w:noWrap w:val="0"/>
            <w:tcMar>
              <w:top w:w="15" w:type="dxa"/>
              <w:left w:w="15" w:type="dxa"/>
              <w:right w:w="15" w:type="dxa"/>
            </w:tcMar>
            <w:vAlign w:val="center"/>
          </w:tcPr>
          <w:p>
            <w:pPr>
              <w:spacing w:line="420" w:lineRule="exact"/>
              <w:rPr>
                <w:rFonts w:ascii="黑体" w:hAnsi="黑体" w:eastAsia="黑体"/>
                <w:sz w:val="32"/>
                <w:szCs w:val="32"/>
              </w:rPr>
            </w:pPr>
            <w:r>
              <w:rPr>
                <w:rFonts w:hint="eastAsia" w:ascii="仿宋_GB2312" w:hAnsi="仿宋_GB2312" w:eastAsia="仿宋_GB2312" w:cs="仿宋_GB2312"/>
                <w:i w:val="0"/>
                <w:color w:val="000000"/>
                <w:kern w:val="0"/>
                <w:sz w:val="32"/>
                <w:szCs w:val="32"/>
                <w:u w:val="none"/>
                <w:lang w:val="en-US" w:eastAsia="zh-CN" w:bidi="ar"/>
              </w:rPr>
              <w:t xml:space="preserve">    （</w:t>
            </w:r>
          </w:p>
          <w:p>
            <w:pPr>
              <w:spacing w:line="420" w:lineRule="exact"/>
              <w:rPr>
                <w:rFonts w:hint="eastAsia" w:ascii="楷体" w:hAnsi="楷体" w:eastAsia="楷体"/>
                <w:b/>
                <w:sz w:val="32"/>
                <w:szCs w:val="32"/>
              </w:rPr>
            </w:pPr>
            <w:r>
              <w:rPr>
                <w:rFonts w:hint="eastAsia" w:ascii="仿宋" w:hAnsi="仿宋" w:eastAsia="仿宋"/>
                <w:sz w:val="32"/>
                <w:szCs w:val="32"/>
              </w:rPr>
              <w:t xml:space="preserve">   </w:t>
            </w:r>
            <w:r>
              <w:rPr>
                <w:rFonts w:hint="eastAsia" w:ascii="楷体" w:hAnsi="楷体" w:eastAsia="楷体"/>
                <w:b/>
                <w:sz w:val="32"/>
                <w:szCs w:val="32"/>
              </w:rPr>
              <w:t>（一）部门基本情况</w:t>
            </w:r>
          </w:p>
          <w:p>
            <w:pPr>
              <w:spacing w:line="420" w:lineRule="exact"/>
              <w:ind w:firstLine="640"/>
              <w:rPr>
                <w:rFonts w:hint="eastAsia" w:ascii="仿宋_GB2312" w:eastAsia="仿宋_GB2312"/>
                <w:sz w:val="30"/>
                <w:szCs w:val="30"/>
              </w:rPr>
            </w:pPr>
            <w:r>
              <w:rPr>
                <w:rFonts w:hint="eastAsia" w:ascii="仿宋" w:hAnsi="仿宋" w:eastAsia="仿宋"/>
                <w:sz w:val="32"/>
                <w:szCs w:val="32"/>
              </w:rPr>
              <w:t>1.</w:t>
            </w:r>
            <w:r>
              <w:rPr>
                <w:rFonts w:hint="eastAsia" w:ascii="仿宋_GB2312" w:eastAsia="仿宋_GB2312"/>
                <w:sz w:val="30"/>
                <w:szCs w:val="30"/>
              </w:rPr>
              <w:t>部门组织机构及人员</w:t>
            </w:r>
          </w:p>
          <w:p>
            <w:pPr>
              <w:keepNext w:val="0"/>
              <w:keepLines w:val="0"/>
              <w:pageBreakBefore w:val="0"/>
              <w:kinsoku/>
              <w:wordWrap/>
              <w:overflowPunct/>
              <w:topLinePunct w:val="0"/>
              <w:autoSpaceDE/>
              <w:autoSpaceDN/>
              <w:bidi w:val="0"/>
              <w:adjustRightInd/>
              <w:snapToGrid/>
              <w:spacing w:line="600" w:lineRule="atLeast"/>
              <w:ind w:right="0" w:rightChars="0" w:firstLine="64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我局隶属于城市管理局下属单位，为副科级事业单位。下设办公室、财务后勤科、城东清扫保洁所、城中清扫保洁所、城西清扫保洁所、垃圾清运所及环卫车队、建筑余土管理科、环卫管理监察科等8个科室。</w:t>
            </w:r>
          </w:p>
          <w:p>
            <w:pPr>
              <w:keepNext w:val="0"/>
              <w:keepLines w:val="0"/>
              <w:pageBreakBefore w:val="0"/>
              <w:kinsoku/>
              <w:wordWrap/>
              <w:overflowPunct/>
              <w:topLinePunct w:val="0"/>
              <w:autoSpaceDE/>
              <w:autoSpaceDN/>
              <w:bidi w:val="0"/>
              <w:adjustRightInd/>
              <w:snapToGrid/>
              <w:spacing w:line="600" w:lineRule="atLeast"/>
              <w:ind w:right="0" w:rightChars="0" w:firstLine="640"/>
              <w:jc w:val="both"/>
              <w:textAlignment w:val="auto"/>
              <w:outlineLvl w:val="9"/>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部门编制数109名，在编在岗人员89人。</w:t>
            </w:r>
          </w:p>
          <w:p>
            <w:pPr>
              <w:keepNext w:val="0"/>
              <w:keepLines w:val="0"/>
              <w:pageBreakBefore w:val="0"/>
              <w:kinsoku/>
              <w:wordWrap/>
              <w:overflowPunct/>
              <w:topLinePunct w:val="0"/>
              <w:autoSpaceDE/>
              <w:autoSpaceDN/>
              <w:bidi w:val="0"/>
              <w:adjustRightInd/>
              <w:snapToGrid/>
              <w:spacing w:line="600" w:lineRule="atLeast"/>
              <w:ind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2.</w:t>
            </w:r>
            <w:r>
              <w:rPr>
                <w:rFonts w:hint="eastAsia" w:ascii="仿宋_GB2312" w:hAnsi="仿宋_GB2312" w:eastAsia="仿宋_GB2312" w:cs="仿宋_GB2312"/>
                <w:sz w:val="32"/>
                <w:szCs w:val="32"/>
              </w:rPr>
              <w:t>部门职能概述</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市环境卫生管理局内设8个职能科（室）</w:t>
            </w:r>
          </w:p>
          <w:p>
            <w:pPr>
              <w:pStyle w:val="8"/>
              <w:keepNext w:val="0"/>
              <w:keepLines w:val="0"/>
              <w:pageBreakBefore w:val="0"/>
              <w:widowControl/>
              <w:numPr>
                <w:ilvl w:val="0"/>
                <w:numId w:val="1"/>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办公室</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负责机关的政务协调和行政事务，具体承担文秘、文印、会议组织、信息管理、档案文书管理、信访接待、保密保卫、机关事务管理等工作；负责机构编制、人事工劳动和职工教育培训；负责党务及工会事务。</w:t>
            </w:r>
          </w:p>
          <w:p>
            <w:pPr>
              <w:pStyle w:val="8"/>
              <w:keepNext w:val="0"/>
              <w:keepLines w:val="0"/>
              <w:pageBreakBefore w:val="0"/>
              <w:widowControl/>
              <w:numPr>
                <w:ilvl w:val="0"/>
                <w:numId w:val="1"/>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财务后勤管理科</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负责编制年度经费计划；负责经费的申报、监督经费、预算外资金和财务的管理；负责公共卫生费、垃圾处置费和环卫有偿服务费的征收工作。</w:t>
            </w:r>
          </w:p>
          <w:p>
            <w:pPr>
              <w:pStyle w:val="8"/>
              <w:keepNext w:val="0"/>
              <w:keepLines w:val="0"/>
              <w:pageBreakBefore w:val="0"/>
              <w:widowControl/>
              <w:numPr>
                <w:ilvl w:val="0"/>
                <w:numId w:val="1"/>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城东清扫保洁管理所</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负责城东所辖区市容环境卫生管理和主次干道、小街小巷的清扫保洁工作。</w:t>
            </w:r>
          </w:p>
          <w:p>
            <w:pPr>
              <w:pStyle w:val="8"/>
              <w:keepNext w:val="0"/>
              <w:keepLines w:val="0"/>
              <w:pageBreakBefore w:val="0"/>
              <w:widowControl/>
              <w:numPr>
                <w:ilvl w:val="0"/>
                <w:numId w:val="1"/>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城中清扫保洁管理所</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负责城中所辖区域市容环境卫生管理和主次干道、小街小巷清扫保洁及所属区域有偿代扫、保洁工作。</w:t>
            </w:r>
          </w:p>
          <w:p>
            <w:pPr>
              <w:pStyle w:val="8"/>
              <w:keepNext w:val="0"/>
              <w:keepLines w:val="0"/>
              <w:pageBreakBefore w:val="0"/>
              <w:widowControl/>
              <w:numPr>
                <w:ilvl w:val="0"/>
                <w:numId w:val="1"/>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城西清扫保洁管理所</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负责城西所辖区域市容环境卫生管理和主次干道、小街小巷的清扫保洁及所属区域有偿代扫、保洁工作</w:t>
            </w:r>
          </w:p>
          <w:p>
            <w:pPr>
              <w:pStyle w:val="8"/>
              <w:keepNext w:val="0"/>
              <w:keepLines w:val="0"/>
              <w:pageBreakBefore w:val="0"/>
              <w:widowControl/>
              <w:numPr>
                <w:ilvl w:val="0"/>
                <w:numId w:val="1"/>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垃圾清运管理科</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城区垃圾（大粪）中转清运、中转站（公厕）管理；负责环卫车辆的保养、管理、环卫机械设备的维修；负责垃圾场区管理及安全生产工作，对垃圾进行填埋处置与综合利用，对场内设施进行维护、管理；负责污水处理系统的运转、维护管理。</w:t>
            </w:r>
          </w:p>
          <w:p>
            <w:pPr>
              <w:pStyle w:val="8"/>
              <w:keepNext w:val="0"/>
              <w:keepLines w:val="0"/>
              <w:pageBreakBefore w:val="0"/>
              <w:widowControl/>
              <w:numPr>
                <w:ilvl w:val="0"/>
                <w:numId w:val="1"/>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建筑余土管理科</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对城区建筑垃圾、余土开挖、运输、消纳、处置的审核批准、管理监督，对违规违章运输建筑材料、建筑垃圾、余土的行为进行查处，参与对运输流散物体、建设工地车辆进出与准运和余土调运的管理，督促建设单位对施工地开展清场工作。</w:t>
            </w:r>
          </w:p>
          <w:p>
            <w:pPr>
              <w:pStyle w:val="8"/>
              <w:keepNext w:val="0"/>
              <w:keepLines w:val="0"/>
              <w:pageBreakBefore w:val="0"/>
              <w:widowControl/>
              <w:numPr>
                <w:ilvl w:val="0"/>
                <w:numId w:val="1"/>
              </w:numPr>
              <w:kinsoku/>
              <w:wordWrap/>
              <w:overflowPunct/>
              <w:topLinePunct w:val="0"/>
              <w:autoSpaceDE/>
              <w:autoSpaceDN/>
              <w:bidi w:val="0"/>
              <w:adjustRightInd/>
              <w:snapToGrid/>
              <w:spacing w:line="600" w:lineRule="atLeas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监察科</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负责对城区主次干道乱扔乱倒垃圾和破坏环卫设施的人进行查处；负责</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对临街宾馆、酒家燃放鞭炮污染道路以及对沿街拾荒人员抖</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atLeast"/>
              <w:ind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撒垃圾污染街面的整治，负责环卫有关法律法规的宣传工作。</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1150" w:hRule="atLeast"/>
        </w:trPr>
        <w:tc>
          <w:tcPr>
            <w:tcW w:w="9263"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1280" w:firstLineChars="400"/>
              <w:jc w:val="both"/>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(二）当年部门（单位）履职总体目标、工作任务。</w:t>
            </w:r>
          </w:p>
          <w:p>
            <w:pPr>
              <w:pageBreakBefore w:val="0"/>
              <w:kinsoku/>
              <w:wordWrap/>
              <w:overflowPunct/>
              <w:topLinePunct w:val="0"/>
              <w:autoSpaceDE/>
              <w:autoSpaceDN/>
              <w:bidi w:val="0"/>
              <w:adjustRightInd/>
              <w:snapToGrid/>
              <w:spacing w:line="600" w:lineRule="atLeast"/>
              <w:ind w:left="0" w:leftChars="0" w:right="0" w:rightChars="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 xml:space="preserve">   2020年</w:t>
            </w:r>
            <w:r>
              <w:rPr>
                <w:rFonts w:hint="eastAsia" w:ascii="仿宋_GB2312" w:hAnsi="仿宋_GB2312" w:eastAsia="仿宋_GB2312" w:cs="仿宋_GB2312"/>
                <w:color w:val="auto"/>
                <w:kern w:val="0"/>
                <w:sz w:val="32"/>
                <w:szCs w:val="32"/>
                <w:lang w:val="en-US" w:eastAsia="zh-CN" w:bidi="ar-SA"/>
              </w:rPr>
              <w:t>瑞金市环境卫生管理局各项工作紧紧围绕创建“全国文明城市”“全国卫生城市”“无废城市”、疫情防控等工作，按照市委、市政府的指示精神和工作部署，组织力量大力开展城区环境卫生整治工作及公共区域消杀工作，周密安排，规范管理，不断完善机制，在工作中不断提升境界、提升层次，使得城区环境卫生有了明显的改善。</w:t>
            </w:r>
          </w:p>
          <w:p>
            <w:pPr>
              <w:pStyle w:val="5"/>
              <w:keepNext w:val="0"/>
              <w:keepLines w:val="0"/>
              <w:pageBreakBefore w:val="0"/>
              <w:widowControl w:val="0"/>
              <w:numPr>
                <w:ilvl w:val="0"/>
                <w:numId w:val="0"/>
              </w:numPr>
              <w:shd w:val="clear" w:color="auto" w:fill="FFFFFF"/>
              <w:kinsoku/>
              <w:wordWrap/>
              <w:overflowPunct/>
              <w:topLinePunct/>
              <w:autoSpaceDE/>
              <w:autoSpaceDN/>
              <w:bidi w:val="0"/>
              <w:adjustRightInd w:val="0"/>
              <w:snapToGrid w:val="0"/>
              <w:spacing w:before="0" w:beforeAutospacing="0" w:line="532" w:lineRule="exact"/>
              <w:ind w:firstLine="643" w:firstLineChars="200"/>
              <w:contextualSpacing/>
              <w:textAlignment w:val="auto"/>
              <w:rPr>
                <w:rFonts w:hint="eastAsia" w:ascii="仿宋_GB2312" w:hAnsi="仿宋_GB2312" w:eastAsia="仿宋_GB2312" w:cs="仿宋_GB2312"/>
                <w:b/>
                <w:bCs/>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一、积极推动“城乡环卫一体化”工作</w:t>
            </w:r>
          </w:p>
          <w:p>
            <w:pPr>
              <w:pStyle w:val="5"/>
              <w:keepNext w:val="0"/>
              <w:keepLines w:val="0"/>
              <w:pageBreakBefore w:val="0"/>
              <w:widowControl w:val="0"/>
              <w:numPr>
                <w:ilvl w:val="0"/>
                <w:numId w:val="0"/>
              </w:numPr>
              <w:shd w:val="clear" w:color="auto" w:fill="FFFFFF"/>
              <w:kinsoku/>
              <w:wordWrap/>
              <w:overflowPunct/>
              <w:topLinePunct/>
              <w:autoSpaceDE/>
              <w:autoSpaceDN/>
              <w:bidi w:val="0"/>
              <w:adjustRightInd w:val="0"/>
              <w:snapToGrid w:val="0"/>
              <w:spacing w:before="0" w:beforeAutospacing="0" w:line="532" w:lineRule="exact"/>
              <w:ind w:firstLine="640" w:firstLineChars="200"/>
              <w:contextualSpacing/>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为深入推进我市“城乡环卫一体化”第三方治理，经市委、市政府批准，2019年5月，我市先将城区（含经开区）范围内的城市道路、市场、广场、河道、农贸市场、公园绿化带保洁，道路冲洗，垃圾收集转运，公厕、垃圾中转站维护管理，牛皮癣清除等各项环卫作业等事项打包采取政府购买服务方式进行公开招投标确定服务方。瑞金市城区环卫一体化项目于2019年5月完成项目招投标，由福建龙马环卫装备股份有限公司中标，服务期8年，2019年9月1日正式接管运行，2020年5月1日起将城区新增42多万平方米纳入保洁范围，现接管城区道路面积810多万平米。现有大小环卫车辆90余辆，快速保洁车200余辆，城区配备分类垃圾桶15000个左右，1000余个垃圾分类果壳箱，负责25座公厕、11座垃圾中转站的维护管理，日均收集清运生活垃圾270吨左右。</w:t>
            </w:r>
          </w:p>
          <w:p>
            <w:pPr>
              <w:pStyle w:val="5"/>
              <w:keepNext w:val="0"/>
              <w:keepLines w:val="0"/>
              <w:pageBreakBefore w:val="0"/>
              <w:widowControl w:val="0"/>
              <w:shd w:val="clear" w:color="auto" w:fill="FFFFFF"/>
              <w:kinsoku/>
              <w:wordWrap/>
              <w:overflowPunct/>
              <w:topLinePunct/>
              <w:autoSpaceDE/>
              <w:autoSpaceDN/>
              <w:bidi w:val="0"/>
              <w:adjustRightInd w:val="0"/>
              <w:snapToGrid w:val="0"/>
              <w:spacing w:before="0" w:beforeAutospacing="0" w:after="288" w:afterAutospacing="0" w:line="532" w:lineRule="exact"/>
              <w:ind w:firstLine="643"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二、积极推进“厕所革命”。</w:t>
            </w:r>
            <w:r>
              <w:rPr>
                <w:rFonts w:hint="eastAsia" w:ascii="仿宋_GB2312" w:hAnsi="仿宋_GB2312" w:eastAsia="仿宋_GB2312" w:cs="仿宋_GB2312"/>
                <w:color w:val="auto"/>
                <w:sz w:val="32"/>
                <w:szCs w:val="32"/>
                <w:lang w:val="en-US" w:eastAsia="zh-CN"/>
              </w:rPr>
              <w:t>以“全国文明城市”和“国家卫生城市”创建为契机，全面提升我市城区公厕软、硬件水平，高标准推动城区公厕改、扩、建工程，今年新建公厕投入使用公厕9座，达到二类建设标准，其中三座配备第三卫生间，满足老弱病残幼等特殊群体用厕需求，为设计新颖、外形美观、功能齐全的公厕极大的提升了我市公厕品位。</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eastAsia="zh-CN"/>
              </w:rPr>
              <w:t>三、推行城区渣土运输公司化管理</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sz w:val="32"/>
                <w:szCs w:val="32"/>
                <w:lang w:val="en-US" w:eastAsia="zh-CN"/>
              </w:rPr>
              <w:t>根据《瑞金市人民政府办公室关于印发瑞金市城区渣土运输公司化管理工作方案的通知》（瑞府办〔2019〕122号）文件精神，我市中心城区实行渣土运输公司化管理。经批准进入中心城区运营的渣土运输公司有四家，共计有新型环保渣土运输车121辆。我局加大执法力度，对道路未硬化、无遮盖上路、带泥上路等问题进行查处，自年初以来，受理建筑垃圾、工程渣土报备70次，受理申报量35万余方，查处135起违章运输行为，査纠175处污染道路的现象，并对15起污染路面严重的行为进行了处罚。</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（三）当年部门年度整体支出绩效目标</w:t>
            </w:r>
          </w:p>
          <w:p>
            <w:pPr>
              <w:numPr>
                <w:ilvl w:val="0"/>
                <w:numId w:val="2"/>
              </w:numPr>
              <w:spacing w:line="4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做好疫情防控工作，</w:t>
            </w:r>
            <w:r>
              <w:rPr>
                <w:rFonts w:hint="eastAsia" w:ascii="仿宋_GB2312" w:hAnsi="仿宋_GB2312" w:eastAsia="仿宋_GB2312" w:cs="仿宋_GB2312"/>
                <w:color w:val="auto"/>
                <w:kern w:val="0"/>
                <w:sz w:val="32"/>
                <w:szCs w:val="32"/>
                <w:lang w:val="en-US" w:eastAsia="zh-CN" w:bidi="ar-SA"/>
              </w:rPr>
              <w:t>组织力量大力开展城区环境卫生整治工作及公共区域消杀工作，周密安排，规范管理，不断完善机制</w:t>
            </w:r>
            <w:r>
              <w:rPr>
                <w:rFonts w:hint="eastAsia" w:ascii="仿宋_GB2312" w:hAnsi="仿宋_GB2312" w:eastAsia="仿宋_GB2312" w:cs="仿宋_GB2312"/>
                <w:sz w:val="32"/>
                <w:szCs w:val="32"/>
                <w:lang w:val="en-US" w:eastAsia="zh-CN"/>
              </w:rPr>
              <w:t>。</w:t>
            </w:r>
          </w:p>
          <w:p>
            <w:pPr>
              <w:numPr>
                <w:ilvl w:val="0"/>
                <w:numId w:val="2"/>
              </w:numPr>
              <w:spacing w:line="4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发挥环卫优势，做好创</w:t>
            </w:r>
            <w:r>
              <w:rPr>
                <w:rFonts w:hint="eastAsia" w:ascii="仿宋_GB2312" w:hAnsi="仿宋_GB2312" w:eastAsia="仿宋_GB2312" w:cs="仿宋_GB2312"/>
                <w:color w:val="auto"/>
                <w:kern w:val="0"/>
                <w:sz w:val="32"/>
                <w:szCs w:val="32"/>
                <w:lang w:val="en-US" w:eastAsia="zh-CN" w:bidi="ar-SA"/>
              </w:rPr>
              <w:t>“全国文明城市”“全国卫生城市”“无废城市”工作</w:t>
            </w:r>
            <w:r>
              <w:rPr>
                <w:rFonts w:hint="eastAsia" w:ascii="仿宋_GB2312" w:hAnsi="仿宋_GB2312" w:eastAsia="仿宋_GB2312" w:cs="仿宋_GB2312"/>
                <w:sz w:val="32"/>
                <w:szCs w:val="32"/>
                <w:lang w:val="en-US" w:eastAsia="zh-CN"/>
              </w:rPr>
              <w:t>。</w:t>
            </w:r>
          </w:p>
          <w:p>
            <w:pPr>
              <w:numPr>
                <w:ilvl w:val="0"/>
                <w:numId w:val="2"/>
              </w:numPr>
              <w:spacing w:line="4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集中力量，合理安排，进一步完善环卫体制，做好城市环境卫生工作，持续改善群众居住和出行环境，提升生活质量。</w:t>
            </w:r>
          </w:p>
          <w:p>
            <w:pPr>
              <w:numPr>
                <w:ilvl w:val="0"/>
                <w:numId w:val="3"/>
              </w:numPr>
              <w:spacing w:line="42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部门预算绩效管理开展情况</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sz w:val="32"/>
                <w:szCs w:val="32"/>
              </w:rPr>
              <w:t>瑞金市</w:t>
            </w:r>
            <w:r>
              <w:rPr>
                <w:rFonts w:hint="eastAsia" w:ascii="仿宋" w:hAnsi="仿宋" w:eastAsia="仿宋"/>
                <w:sz w:val="32"/>
                <w:szCs w:val="32"/>
                <w:lang w:eastAsia="zh-CN"/>
              </w:rPr>
              <w:t>环境卫生管理局</w:t>
            </w:r>
            <w:r>
              <w:rPr>
                <w:rFonts w:hint="eastAsia" w:ascii="仿宋" w:hAnsi="仿宋" w:eastAsia="仿宋"/>
                <w:sz w:val="32"/>
                <w:szCs w:val="32"/>
              </w:rPr>
              <w:t>整体支出绩效评价得分</w:t>
            </w:r>
            <w:r>
              <w:rPr>
                <w:rFonts w:hint="eastAsia" w:ascii="仿宋" w:hAnsi="仿宋" w:eastAsia="仿宋"/>
                <w:sz w:val="32"/>
                <w:szCs w:val="32"/>
                <w:lang w:val="en-US" w:eastAsia="zh-CN"/>
              </w:rPr>
              <w:t>70</w:t>
            </w:r>
            <w:r>
              <w:rPr>
                <w:rFonts w:hint="eastAsia" w:ascii="仿宋" w:hAnsi="仿宋" w:eastAsia="仿宋"/>
                <w:sz w:val="32"/>
                <w:szCs w:val="32"/>
              </w:rPr>
              <w:t>分。</w:t>
            </w:r>
            <w:r>
              <w:rPr>
                <w:rFonts w:hint="eastAsia" w:ascii="仿宋" w:hAnsi="仿宋" w:eastAsia="仿宋"/>
                <w:sz w:val="32"/>
                <w:szCs w:val="32"/>
                <w:lang w:val="en-US" w:eastAsia="zh-CN"/>
              </w:rPr>
              <w:t>2020年</w:t>
            </w:r>
            <w:r>
              <w:rPr>
                <w:rFonts w:hint="eastAsia" w:ascii="仿宋_GB2312" w:hAnsi="仿宋_GB2312" w:eastAsia="仿宋_GB2312" w:cs="仿宋_GB2312"/>
                <w:color w:val="auto"/>
                <w:kern w:val="0"/>
                <w:sz w:val="32"/>
                <w:szCs w:val="32"/>
                <w:lang w:val="en-US" w:eastAsia="zh-CN" w:bidi="ar-SA"/>
              </w:rPr>
              <w:t>瑞金市环境卫生管理局各项工作紧紧围绕创建“全国文明城市”“全国卫生城市”“无废城市”、疫情防控等工作，按照市委、市政府的指示精神和工作部署，组织力量大力开展城区环境卫生整治工作及公共区域消杀工作，周密安排，规范管理，不断完善机制，在工作中不断提升境界、提升层次，使得城区环境卫生有了明显的改善圆满的完成了市委市政府交待的</w:t>
            </w:r>
            <w:r>
              <w:rPr>
                <w:rFonts w:hint="eastAsia" w:ascii="仿宋" w:hAnsi="仿宋" w:eastAsia="仿宋"/>
                <w:sz w:val="32"/>
                <w:szCs w:val="32"/>
              </w:rPr>
              <w:t>各项工作任务</w:t>
            </w:r>
            <w:r>
              <w:rPr>
                <w:rFonts w:hint="eastAsia" w:ascii="仿宋" w:hAnsi="仿宋" w:eastAsia="仿宋"/>
                <w:sz w:val="32"/>
                <w:szCs w:val="32"/>
                <w:lang w:eastAsia="zh-CN"/>
              </w:rPr>
              <w:t>，使环卫工作呈现有序推进、稳健发展的良好局面</w:t>
            </w:r>
            <w:r>
              <w:rPr>
                <w:rFonts w:hint="eastAsia" w:ascii="仿宋" w:hAnsi="仿宋" w:eastAsia="仿宋"/>
                <w:sz w:val="32"/>
                <w:szCs w:val="32"/>
              </w:rPr>
              <w:t>。</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w:t>
            </w:r>
            <w:r>
              <w:rPr>
                <w:rFonts w:hint="default" w:ascii="仿宋_GB2312" w:hAnsi="仿宋_GB2312" w:eastAsia="仿宋_GB2312" w:cs="仿宋_GB2312"/>
                <w:b w:val="0"/>
                <w:bCs w:val="0"/>
                <w:sz w:val="32"/>
                <w:szCs w:val="32"/>
                <w:lang w:val="en-US" w:eastAsia="zh-CN"/>
              </w:rPr>
              <w:t>当年部门预算及执行情况。</w:t>
            </w:r>
          </w:p>
        </w:tc>
      </w:tr>
      <w:tr>
        <w:tblPrEx>
          <w:tblCellMar>
            <w:top w:w="0" w:type="dxa"/>
            <w:left w:w="0" w:type="dxa"/>
            <w:bottom w:w="0" w:type="dxa"/>
            <w:right w:w="0" w:type="dxa"/>
          </w:tblCellMar>
        </w:tblPrEx>
        <w:trPr>
          <w:trHeight w:val="642" w:hRule="atLeast"/>
        </w:trPr>
        <w:tc>
          <w:tcPr>
            <w:tcW w:w="9263"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0"/>
              <w:jc w:val="both"/>
              <w:textAlignment w:val="center"/>
              <w:rPr>
                <w:rFonts w:hint="eastAsia" w:ascii="仿宋" w:hAnsi="仿宋" w:eastAsia="仿宋" w:cs="仿宋"/>
                <w:i w:val="0"/>
                <w:color w:val="000000"/>
                <w:sz w:val="32"/>
                <w:szCs w:val="32"/>
                <w:u w:val="none"/>
              </w:rPr>
            </w:pPr>
            <w:r>
              <w:rPr>
                <w:rFonts w:hint="eastAsia" w:ascii="仿宋" w:hAnsi="仿宋" w:eastAsia="仿宋" w:cs="仿宋"/>
                <w:sz w:val="32"/>
                <w:szCs w:val="32"/>
              </w:rPr>
              <w:t>市财政局年初批复</w:t>
            </w:r>
            <w:r>
              <w:rPr>
                <w:rFonts w:hint="eastAsia" w:ascii="仿宋" w:hAnsi="仿宋" w:eastAsia="仿宋" w:cs="仿宋"/>
                <w:sz w:val="32"/>
                <w:szCs w:val="32"/>
                <w:lang w:eastAsia="zh-CN"/>
              </w:rPr>
              <w:t>我局</w:t>
            </w:r>
            <w:r>
              <w:rPr>
                <w:rFonts w:hint="eastAsia" w:ascii="仿宋" w:hAnsi="仿宋" w:eastAsia="仿宋" w:cs="仿宋"/>
                <w:sz w:val="32"/>
                <w:szCs w:val="32"/>
                <w:lang w:val="en-US" w:eastAsia="zh-CN"/>
              </w:rPr>
              <w:t>2020</w:t>
            </w:r>
            <w:r>
              <w:rPr>
                <w:rFonts w:hint="eastAsia" w:ascii="仿宋" w:hAnsi="仿宋" w:eastAsia="仿宋" w:cs="仿宋"/>
                <w:sz w:val="32"/>
                <w:szCs w:val="32"/>
              </w:rPr>
              <w:t>年度部门预算</w:t>
            </w:r>
            <w:r>
              <w:rPr>
                <w:rFonts w:hint="eastAsia" w:ascii="仿宋" w:hAnsi="仿宋" w:eastAsia="仿宋" w:cs="仿宋"/>
                <w:sz w:val="32"/>
                <w:szCs w:val="32"/>
                <w:lang w:val="en-US" w:eastAsia="zh-CN"/>
              </w:rPr>
              <w:t>983.93</w:t>
            </w:r>
            <w:r>
              <w:rPr>
                <w:rFonts w:hint="eastAsia" w:ascii="仿宋" w:hAnsi="仿宋" w:eastAsia="仿宋" w:cs="仿宋"/>
                <w:sz w:val="32"/>
                <w:szCs w:val="32"/>
              </w:rPr>
              <w:t>万元，年中追加预算</w:t>
            </w:r>
            <w:r>
              <w:rPr>
                <w:rFonts w:hint="eastAsia" w:ascii="仿宋" w:hAnsi="仿宋" w:eastAsia="仿宋" w:cs="仿宋"/>
                <w:sz w:val="32"/>
                <w:szCs w:val="32"/>
                <w:lang w:val="en-US" w:eastAsia="zh-CN"/>
              </w:rPr>
              <w:t>7913.57</w:t>
            </w:r>
            <w:r>
              <w:rPr>
                <w:rFonts w:hint="eastAsia" w:ascii="仿宋" w:hAnsi="仿宋" w:eastAsia="仿宋" w:cs="仿宋"/>
                <w:sz w:val="32"/>
                <w:szCs w:val="32"/>
              </w:rPr>
              <w:t>万元，合计</w:t>
            </w:r>
            <w:r>
              <w:rPr>
                <w:rFonts w:hint="eastAsia" w:ascii="仿宋" w:hAnsi="仿宋" w:eastAsia="仿宋" w:cs="仿宋"/>
                <w:sz w:val="30"/>
                <w:szCs w:val="30"/>
                <w:lang w:val="en-US" w:eastAsia="zh-CN"/>
              </w:rPr>
              <w:t>8897.50</w:t>
            </w:r>
            <w:r>
              <w:rPr>
                <w:rFonts w:hint="eastAsia" w:ascii="仿宋" w:hAnsi="仿宋" w:eastAsia="仿宋" w:cs="仿宋"/>
                <w:sz w:val="32"/>
                <w:szCs w:val="32"/>
              </w:rPr>
              <w:t>万元。当年</w:t>
            </w:r>
            <w:r>
              <w:rPr>
                <w:rFonts w:hint="eastAsia" w:ascii="仿宋" w:hAnsi="仿宋" w:eastAsia="仿宋" w:cs="仿宋"/>
                <w:sz w:val="30"/>
                <w:szCs w:val="30"/>
              </w:rPr>
              <w:t>实际完成收入</w:t>
            </w:r>
            <w:r>
              <w:rPr>
                <w:rFonts w:hint="eastAsia" w:ascii="仿宋" w:hAnsi="仿宋" w:eastAsia="仿宋" w:cs="仿宋"/>
                <w:sz w:val="30"/>
                <w:szCs w:val="30"/>
                <w:lang w:val="en-US" w:eastAsia="zh-CN"/>
              </w:rPr>
              <w:t>8897.50</w:t>
            </w:r>
            <w:r>
              <w:rPr>
                <w:rFonts w:hint="eastAsia" w:ascii="仿宋" w:hAnsi="仿宋" w:eastAsia="仿宋" w:cs="仿宋"/>
                <w:sz w:val="30"/>
                <w:szCs w:val="30"/>
              </w:rPr>
              <w:t>万元；完成支出</w:t>
            </w:r>
            <w:r>
              <w:rPr>
                <w:rFonts w:hint="eastAsia" w:ascii="仿宋" w:hAnsi="仿宋" w:eastAsia="仿宋" w:cs="仿宋"/>
                <w:sz w:val="30"/>
                <w:szCs w:val="30"/>
                <w:lang w:val="en-US" w:eastAsia="zh-CN"/>
              </w:rPr>
              <w:t>10827.77</w:t>
            </w:r>
            <w:r>
              <w:rPr>
                <w:rFonts w:hint="eastAsia" w:ascii="仿宋" w:hAnsi="仿宋" w:eastAsia="仿宋" w:cs="仿宋"/>
                <w:sz w:val="30"/>
                <w:szCs w:val="30"/>
              </w:rPr>
              <w:t>万元，其中</w:t>
            </w: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585</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10236.66</w:t>
            </w:r>
            <w:r>
              <w:rPr>
                <w:rFonts w:hint="eastAsia" w:ascii="仿宋" w:hAnsi="仿宋" w:eastAsia="仿宋" w:cs="仿宋"/>
                <w:sz w:val="32"/>
                <w:szCs w:val="32"/>
              </w:rPr>
              <w:t>万元、对个人和家庭的补助支出</w:t>
            </w:r>
            <w:r>
              <w:rPr>
                <w:rFonts w:hint="eastAsia" w:ascii="仿宋" w:hAnsi="仿宋" w:eastAsia="仿宋" w:cs="仿宋"/>
                <w:sz w:val="32"/>
                <w:szCs w:val="32"/>
                <w:lang w:val="en-US" w:eastAsia="zh-CN"/>
              </w:rPr>
              <w:t>6.11</w:t>
            </w:r>
            <w:r>
              <w:rPr>
                <w:rFonts w:hint="eastAsia" w:ascii="仿宋" w:hAnsi="仿宋" w:eastAsia="仿宋" w:cs="仿宋"/>
                <w:sz w:val="32"/>
                <w:szCs w:val="32"/>
              </w:rPr>
              <w:t>万元</w:t>
            </w:r>
            <w:r>
              <w:rPr>
                <w:rFonts w:hint="eastAsia" w:ascii="仿宋" w:hAnsi="仿宋" w:eastAsia="仿宋" w:cs="仿宋"/>
                <w:sz w:val="30"/>
                <w:szCs w:val="30"/>
              </w:rPr>
              <w:t>；</w:t>
            </w:r>
            <w:r>
              <w:rPr>
                <w:rFonts w:hint="eastAsia" w:ascii="仿宋" w:hAnsi="仿宋" w:eastAsia="仿宋" w:cs="仿宋"/>
                <w:sz w:val="32"/>
                <w:szCs w:val="32"/>
              </w:rPr>
              <w:t>部门预算支出与执行结果的差异总额为万元，差异的具体情况及原因见下表：</w:t>
            </w:r>
          </w:p>
        </w:tc>
      </w:tr>
      <w:tr>
        <w:tblPrEx>
          <w:tblCellMar>
            <w:top w:w="0" w:type="dxa"/>
            <w:left w:w="0" w:type="dxa"/>
            <w:bottom w:w="0" w:type="dxa"/>
            <w:right w:w="0" w:type="dxa"/>
          </w:tblCellMar>
        </w:tblPrEx>
        <w:trPr>
          <w:trHeight w:val="672" w:hRule="atLeast"/>
        </w:trPr>
        <w:tc>
          <w:tcPr>
            <w:tcW w:w="9263" w:type="dxa"/>
            <w:tcBorders>
              <w:top w:val="nil"/>
              <w:left w:val="nil"/>
              <w:bottom w:val="nil"/>
              <w:right w:val="nil"/>
            </w:tcBorders>
            <w:noWrap w:val="0"/>
            <w:tcMar>
              <w:top w:w="15" w:type="dxa"/>
              <w:left w:w="15" w:type="dxa"/>
              <w:right w:w="15" w:type="dxa"/>
            </w:tcMar>
            <w:vAlign w:val="center"/>
          </w:tcPr>
          <w:tbl>
            <w:tblPr>
              <w:tblStyle w:val="6"/>
              <w:tblW w:w="0" w:type="auto"/>
              <w:tblInd w:w="-90" w:type="dxa"/>
              <w:tblLayout w:type="fixed"/>
              <w:tblCellMar>
                <w:top w:w="0" w:type="dxa"/>
                <w:left w:w="108" w:type="dxa"/>
                <w:bottom w:w="0" w:type="dxa"/>
                <w:right w:w="108" w:type="dxa"/>
              </w:tblCellMar>
            </w:tblPr>
            <w:tblGrid>
              <w:gridCol w:w="525"/>
              <w:gridCol w:w="2157"/>
              <w:gridCol w:w="1875"/>
              <w:gridCol w:w="2231"/>
              <w:gridCol w:w="2320"/>
            </w:tblGrid>
            <w:tr>
              <w:tblPrEx>
                <w:tblCellMar>
                  <w:top w:w="0" w:type="dxa"/>
                  <w:left w:w="108" w:type="dxa"/>
                  <w:bottom w:w="0" w:type="dxa"/>
                  <w:right w:w="108" w:type="dxa"/>
                </w:tblCellMar>
              </w:tblPrEx>
              <w:trPr>
                <w:trHeight w:val="285" w:hRule="atLeast"/>
              </w:trPr>
              <w:tc>
                <w:tcPr>
                  <w:tcW w:w="9108" w:type="dxa"/>
                  <w:gridSpan w:val="5"/>
                  <w:tcBorders>
                    <w:top w:val="nil"/>
                    <w:left w:val="nil"/>
                    <w:bottom w:val="nil"/>
                    <w:right w:val="nil"/>
                  </w:tcBorders>
                  <w:noWrap w:val="0"/>
                  <w:vAlign w:val="bottom"/>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瑞金市环境卫生管理局</w:t>
                  </w:r>
                  <w:r>
                    <w:rPr>
                      <w:rFonts w:hint="eastAsia" w:ascii="仿宋" w:hAnsi="仿宋" w:eastAsia="仿宋" w:cs="仿宋"/>
                      <w:kern w:val="0"/>
                      <w:sz w:val="32"/>
                      <w:szCs w:val="32"/>
                      <w:lang w:val="en-US" w:eastAsia="zh-CN"/>
                    </w:rPr>
                    <w:t>2020</w:t>
                  </w:r>
                  <w:r>
                    <w:rPr>
                      <w:rFonts w:hint="eastAsia" w:ascii="仿宋" w:hAnsi="仿宋" w:eastAsia="仿宋" w:cs="仿宋"/>
                      <w:kern w:val="0"/>
                      <w:sz w:val="32"/>
                      <w:szCs w:val="32"/>
                    </w:rPr>
                    <w:t>年度财政拨款预算执行总体情况</w:t>
                  </w:r>
                </w:p>
              </w:tc>
            </w:tr>
            <w:tr>
              <w:tblPrEx>
                <w:tblCellMar>
                  <w:top w:w="0" w:type="dxa"/>
                  <w:left w:w="108" w:type="dxa"/>
                  <w:bottom w:w="0" w:type="dxa"/>
                  <w:right w:w="108" w:type="dxa"/>
                </w:tblCellMar>
              </w:tblPrEx>
              <w:trPr>
                <w:trHeight w:val="105" w:hRule="atLeast"/>
              </w:trPr>
              <w:tc>
                <w:tcPr>
                  <w:tcW w:w="525" w:type="dxa"/>
                  <w:tcBorders>
                    <w:top w:val="nil"/>
                    <w:left w:val="nil"/>
                    <w:bottom w:val="nil"/>
                    <w:right w:val="nil"/>
                  </w:tcBorders>
                  <w:noWrap w:val="0"/>
                  <w:vAlign w:val="bottom"/>
                </w:tcPr>
                <w:p>
                  <w:pPr>
                    <w:widowControl/>
                    <w:spacing w:line="380" w:lineRule="exact"/>
                    <w:jc w:val="left"/>
                    <w:rPr>
                      <w:rFonts w:hint="eastAsia" w:ascii="仿宋" w:hAnsi="仿宋" w:eastAsia="仿宋" w:cs="仿宋"/>
                      <w:kern w:val="0"/>
                      <w:sz w:val="32"/>
                      <w:szCs w:val="32"/>
                    </w:rPr>
                  </w:pPr>
                </w:p>
              </w:tc>
              <w:tc>
                <w:tcPr>
                  <w:tcW w:w="2157" w:type="dxa"/>
                  <w:tcBorders>
                    <w:top w:val="nil"/>
                    <w:left w:val="nil"/>
                    <w:bottom w:val="nil"/>
                    <w:right w:val="nil"/>
                  </w:tcBorders>
                  <w:noWrap w:val="0"/>
                  <w:vAlign w:val="bottom"/>
                </w:tcPr>
                <w:p>
                  <w:pPr>
                    <w:widowControl/>
                    <w:spacing w:line="380" w:lineRule="exact"/>
                    <w:jc w:val="left"/>
                    <w:rPr>
                      <w:rFonts w:hint="eastAsia" w:ascii="仿宋" w:hAnsi="仿宋" w:eastAsia="仿宋" w:cs="仿宋"/>
                      <w:kern w:val="0"/>
                      <w:sz w:val="32"/>
                      <w:szCs w:val="32"/>
                    </w:rPr>
                  </w:pPr>
                </w:p>
              </w:tc>
              <w:tc>
                <w:tcPr>
                  <w:tcW w:w="1875" w:type="dxa"/>
                  <w:tcBorders>
                    <w:top w:val="nil"/>
                    <w:left w:val="nil"/>
                    <w:bottom w:val="nil"/>
                    <w:right w:val="nil"/>
                  </w:tcBorders>
                  <w:noWrap w:val="0"/>
                  <w:vAlign w:val="bottom"/>
                </w:tcPr>
                <w:p>
                  <w:pPr>
                    <w:widowControl/>
                    <w:spacing w:line="380" w:lineRule="exact"/>
                    <w:jc w:val="left"/>
                    <w:rPr>
                      <w:rFonts w:hint="eastAsia" w:ascii="仿宋" w:hAnsi="仿宋" w:eastAsia="仿宋" w:cs="仿宋"/>
                      <w:kern w:val="0"/>
                      <w:sz w:val="32"/>
                      <w:szCs w:val="32"/>
                    </w:rPr>
                  </w:pPr>
                </w:p>
              </w:tc>
              <w:tc>
                <w:tcPr>
                  <w:tcW w:w="2231" w:type="dxa"/>
                  <w:tcBorders>
                    <w:top w:val="nil"/>
                    <w:left w:val="nil"/>
                    <w:bottom w:val="nil"/>
                    <w:right w:val="nil"/>
                  </w:tcBorders>
                  <w:noWrap w:val="0"/>
                  <w:vAlign w:val="bottom"/>
                </w:tcPr>
                <w:p>
                  <w:pPr>
                    <w:widowControl/>
                    <w:spacing w:line="380" w:lineRule="exact"/>
                    <w:jc w:val="left"/>
                    <w:rPr>
                      <w:rFonts w:hint="eastAsia" w:ascii="仿宋" w:hAnsi="仿宋" w:eastAsia="仿宋" w:cs="仿宋"/>
                      <w:kern w:val="0"/>
                      <w:sz w:val="32"/>
                      <w:szCs w:val="32"/>
                    </w:rPr>
                  </w:pPr>
                </w:p>
              </w:tc>
              <w:tc>
                <w:tcPr>
                  <w:tcW w:w="2320" w:type="dxa"/>
                  <w:tcBorders>
                    <w:top w:val="nil"/>
                    <w:left w:val="nil"/>
                    <w:bottom w:val="nil"/>
                    <w:right w:val="nil"/>
                  </w:tcBorders>
                  <w:noWrap w:val="0"/>
                  <w:vAlign w:val="bottom"/>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单位：元</w:t>
                  </w:r>
                </w:p>
              </w:tc>
            </w:tr>
            <w:tr>
              <w:tblPrEx>
                <w:tblCellMar>
                  <w:top w:w="0" w:type="dxa"/>
                  <w:left w:w="108" w:type="dxa"/>
                  <w:bottom w:w="0" w:type="dxa"/>
                  <w:right w:w="108" w:type="dxa"/>
                </w:tblCellMar>
              </w:tblPrEx>
              <w:trPr>
                <w:trHeight w:val="285" w:hRule="atLeast"/>
              </w:trPr>
              <w:tc>
                <w:tcPr>
                  <w:tcW w:w="5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预算数</w:t>
                  </w:r>
                </w:p>
              </w:tc>
              <w:tc>
                <w:tcPr>
                  <w:tcW w:w="21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小计</w:t>
                  </w:r>
                </w:p>
              </w:tc>
              <w:tc>
                <w:tcPr>
                  <w:tcW w:w="4106" w:type="dxa"/>
                  <w:gridSpan w:val="2"/>
                  <w:tcBorders>
                    <w:top w:val="single" w:color="auto" w:sz="4" w:space="0"/>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基本支出</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项目支出</w:t>
                  </w:r>
                </w:p>
              </w:tc>
            </w:tr>
            <w:tr>
              <w:tblPrEx>
                <w:tblCellMar>
                  <w:top w:w="0" w:type="dxa"/>
                  <w:left w:w="108" w:type="dxa"/>
                  <w:bottom w:w="0" w:type="dxa"/>
                  <w:right w:w="108" w:type="dxa"/>
                </w:tblCellMar>
              </w:tblPrEx>
              <w:trPr>
                <w:trHeight w:val="285" w:hRule="atLeast"/>
              </w:trPr>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21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1875" w:type="dxa"/>
                  <w:tcBorders>
                    <w:top w:val="nil"/>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人员经费</w:t>
                  </w:r>
                </w:p>
              </w:tc>
              <w:tc>
                <w:tcPr>
                  <w:tcW w:w="2231" w:type="dxa"/>
                  <w:tcBorders>
                    <w:top w:val="nil"/>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公用经费</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226" w:hRule="atLeast"/>
              </w:trPr>
              <w:tc>
                <w:tcPr>
                  <w:tcW w:w="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2157" w:type="dxa"/>
                  <w:tcBorders>
                    <w:top w:val="nil"/>
                    <w:left w:val="nil"/>
                    <w:bottom w:val="single" w:color="auto" w:sz="4" w:space="0"/>
                    <w:right w:val="single" w:color="auto" w:sz="4" w:space="0"/>
                  </w:tcBorders>
                  <w:noWrap w:val="0"/>
                  <w:vAlign w:val="center"/>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9839300</w:t>
                  </w:r>
                </w:p>
              </w:tc>
              <w:tc>
                <w:tcPr>
                  <w:tcW w:w="1875" w:type="dxa"/>
                  <w:tcBorders>
                    <w:top w:val="nil"/>
                    <w:left w:val="nil"/>
                    <w:bottom w:val="single" w:color="auto" w:sz="4" w:space="0"/>
                    <w:right w:val="single" w:color="auto" w:sz="4" w:space="0"/>
                  </w:tcBorders>
                  <w:noWrap w:val="0"/>
                  <w:vAlign w:val="bottom"/>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7573600</w:t>
                  </w:r>
                </w:p>
              </w:tc>
              <w:tc>
                <w:tcPr>
                  <w:tcW w:w="2231" w:type="dxa"/>
                  <w:tcBorders>
                    <w:top w:val="nil"/>
                    <w:left w:val="nil"/>
                    <w:bottom w:val="single" w:color="auto" w:sz="4" w:space="0"/>
                    <w:right w:val="single" w:color="auto" w:sz="4" w:space="0"/>
                  </w:tcBorders>
                  <w:noWrap w:val="0"/>
                  <w:vAlign w:val="bottom"/>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1942500</w:t>
                  </w:r>
                </w:p>
              </w:tc>
              <w:tc>
                <w:tcPr>
                  <w:tcW w:w="2320" w:type="dxa"/>
                  <w:tcBorders>
                    <w:top w:val="nil"/>
                    <w:left w:val="nil"/>
                    <w:bottom w:val="single" w:color="auto" w:sz="4" w:space="0"/>
                    <w:right w:val="single" w:color="auto" w:sz="4" w:space="0"/>
                  </w:tcBorders>
                  <w:noWrap w:val="0"/>
                  <w:vAlign w:val="center"/>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57523000</w:t>
                  </w:r>
                </w:p>
              </w:tc>
            </w:tr>
            <w:tr>
              <w:tblPrEx>
                <w:tblCellMar>
                  <w:top w:w="0" w:type="dxa"/>
                  <w:left w:w="108" w:type="dxa"/>
                  <w:bottom w:w="0" w:type="dxa"/>
                  <w:right w:w="108" w:type="dxa"/>
                </w:tblCellMar>
              </w:tblPrEx>
              <w:trPr>
                <w:trHeight w:val="285" w:hRule="atLeast"/>
              </w:trPr>
              <w:tc>
                <w:tcPr>
                  <w:tcW w:w="525" w:type="dxa"/>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执行数</w:t>
                  </w:r>
                </w:p>
              </w:tc>
              <w:tc>
                <w:tcPr>
                  <w:tcW w:w="2157" w:type="dxa"/>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小计</w:t>
                  </w:r>
                </w:p>
              </w:tc>
              <w:tc>
                <w:tcPr>
                  <w:tcW w:w="4106" w:type="dxa"/>
                  <w:gridSpan w:val="2"/>
                  <w:tcBorders>
                    <w:top w:val="single" w:color="auto" w:sz="4" w:space="0"/>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基本支出</w:t>
                  </w:r>
                </w:p>
              </w:tc>
              <w:tc>
                <w:tcPr>
                  <w:tcW w:w="2320" w:type="dxa"/>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项目支出</w:t>
                  </w:r>
                </w:p>
              </w:tc>
            </w:tr>
            <w:tr>
              <w:tblPrEx>
                <w:tblCellMar>
                  <w:top w:w="0" w:type="dxa"/>
                  <w:left w:w="108" w:type="dxa"/>
                  <w:bottom w:w="0" w:type="dxa"/>
                  <w:right w:w="108" w:type="dxa"/>
                </w:tblCellMar>
              </w:tblPrEx>
              <w:trPr>
                <w:trHeight w:val="285" w:hRule="atLeast"/>
              </w:trPr>
              <w:tc>
                <w:tcPr>
                  <w:tcW w:w="525" w:type="dxa"/>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2157" w:type="dxa"/>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1875" w:type="dxa"/>
                  <w:tcBorders>
                    <w:top w:val="nil"/>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人员经费</w:t>
                  </w:r>
                </w:p>
              </w:tc>
              <w:tc>
                <w:tcPr>
                  <w:tcW w:w="2231" w:type="dxa"/>
                  <w:tcBorders>
                    <w:top w:val="nil"/>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公用经费</w:t>
                  </w:r>
                </w:p>
              </w:tc>
              <w:tc>
                <w:tcPr>
                  <w:tcW w:w="2320" w:type="dxa"/>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370" w:hRule="atLeast"/>
              </w:trPr>
              <w:tc>
                <w:tcPr>
                  <w:tcW w:w="525" w:type="dxa"/>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2157" w:type="dxa"/>
                  <w:tcBorders>
                    <w:top w:val="nil"/>
                    <w:left w:val="nil"/>
                    <w:bottom w:val="single" w:color="auto" w:sz="4" w:space="0"/>
                    <w:right w:val="single" w:color="auto" w:sz="4" w:space="0"/>
                  </w:tcBorders>
                  <w:noWrap w:val="0"/>
                  <w:vAlign w:val="center"/>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88974965.01</w:t>
                  </w:r>
                </w:p>
              </w:tc>
              <w:tc>
                <w:tcPr>
                  <w:tcW w:w="1875" w:type="dxa"/>
                  <w:tcBorders>
                    <w:top w:val="nil"/>
                    <w:left w:val="nil"/>
                    <w:bottom w:val="single" w:color="auto" w:sz="4" w:space="0"/>
                    <w:right w:val="single" w:color="auto" w:sz="4" w:space="0"/>
                  </w:tcBorders>
                  <w:noWrap w:val="0"/>
                  <w:vAlign w:val="bottom"/>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5911098.63</w:t>
                  </w:r>
                </w:p>
              </w:tc>
              <w:tc>
                <w:tcPr>
                  <w:tcW w:w="2231" w:type="dxa"/>
                  <w:tcBorders>
                    <w:top w:val="nil"/>
                    <w:left w:val="nil"/>
                    <w:bottom w:val="single" w:color="auto" w:sz="4" w:space="0"/>
                    <w:right w:val="single" w:color="auto" w:sz="4" w:space="0"/>
                  </w:tcBorders>
                  <w:noWrap w:val="0"/>
                  <w:vAlign w:val="bottom"/>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13625617.64</w:t>
                  </w:r>
                </w:p>
              </w:tc>
              <w:tc>
                <w:tcPr>
                  <w:tcW w:w="2320" w:type="dxa"/>
                  <w:tcBorders>
                    <w:top w:val="nil"/>
                    <w:left w:val="nil"/>
                    <w:bottom w:val="single" w:color="auto" w:sz="4" w:space="0"/>
                    <w:right w:val="single" w:color="auto" w:sz="4" w:space="0"/>
                  </w:tcBorders>
                  <w:noWrap w:val="0"/>
                  <w:vAlign w:val="center"/>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88740962.48</w:t>
                  </w:r>
                </w:p>
              </w:tc>
            </w:tr>
            <w:tr>
              <w:tblPrEx>
                <w:tblCellMar>
                  <w:top w:w="0" w:type="dxa"/>
                  <w:left w:w="108" w:type="dxa"/>
                  <w:bottom w:w="0" w:type="dxa"/>
                  <w:right w:w="108" w:type="dxa"/>
                </w:tblCellMar>
              </w:tblPrEx>
              <w:trPr>
                <w:trHeight w:val="285" w:hRule="atLeast"/>
              </w:trPr>
              <w:tc>
                <w:tcPr>
                  <w:tcW w:w="525" w:type="dxa"/>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预算与执行的差异数</w:t>
                  </w:r>
                </w:p>
              </w:tc>
              <w:tc>
                <w:tcPr>
                  <w:tcW w:w="2157" w:type="dxa"/>
                  <w:vMerge w:val="restart"/>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小计</w:t>
                  </w:r>
                </w:p>
              </w:tc>
              <w:tc>
                <w:tcPr>
                  <w:tcW w:w="4106" w:type="dxa"/>
                  <w:gridSpan w:val="2"/>
                  <w:tcBorders>
                    <w:top w:val="single" w:color="auto" w:sz="4" w:space="0"/>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基本支出</w:t>
                  </w:r>
                </w:p>
              </w:tc>
              <w:tc>
                <w:tcPr>
                  <w:tcW w:w="2320" w:type="dxa"/>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项目支出</w:t>
                  </w:r>
                </w:p>
              </w:tc>
            </w:tr>
            <w:tr>
              <w:tblPrEx>
                <w:tblCellMar>
                  <w:top w:w="0" w:type="dxa"/>
                  <w:left w:w="108" w:type="dxa"/>
                  <w:bottom w:w="0" w:type="dxa"/>
                  <w:right w:w="108" w:type="dxa"/>
                </w:tblCellMar>
              </w:tblPrEx>
              <w:trPr>
                <w:trHeight w:val="285" w:hRule="atLeast"/>
              </w:trPr>
              <w:tc>
                <w:tcPr>
                  <w:tcW w:w="525" w:type="dxa"/>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2157" w:type="dxa"/>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1875" w:type="dxa"/>
                  <w:tcBorders>
                    <w:top w:val="nil"/>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人员经费</w:t>
                  </w:r>
                </w:p>
              </w:tc>
              <w:tc>
                <w:tcPr>
                  <w:tcW w:w="2231" w:type="dxa"/>
                  <w:tcBorders>
                    <w:top w:val="nil"/>
                    <w:left w:val="nil"/>
                    <w:bottom w:val="single" w:color="auto" w:sz="4" w:space="0"/>
                    <w:right w:val="single" w:color="auto" w:sz="4" w:space="0"/>
                  </w:tcBorders>
                  <w:noWrap w:val="0"/>
                  <w:vAlign w:val="bottom"/>
                </w:tcPr>
                <w:p>
                  <w:pPr>
                    <w:widowControl/>
                    <w:spacing w:line="38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公用经费</w:t>
                  </w:r>
                </w:p>
              </w:tc>
              <w:tc>
                <w:tcPr>
                  <w:tcW w:w="2320" w:type="dxa"/>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r>
            <w:tr>
              <w:tblPrEx>
                <w:tblCellMar>
                  <w:top w:w="0" w:type="dxa"/>
                  <w:left w:w="108" w:type="dxa"/>
                  <w:bottom w:w="0" w:type="dxa"/>
                  <w:right w:w="108" w:type="dxa"/>
                </w:tblCellMar>
              </w:tblPrEx>
              <w:trPr>
                <w:trHeight w:val="1928" w:hRule="atLeast"/>
              </w:trPr>
              <w:tc>
                <w:tcPr>
                  <w:tcW w:w="525" w:type="dxa"/>
                  <w:vMerge w:val="continue"/>
                  <w:tcBorders>
                    <w:top w:val="nil"/>
                    <w:left w:val="single" w:color="auto" w:sz="4" w:space="0"/>
                    <w:bottom w:val="single" w:color="auto" w:sz="4" w:space="0"/>
                    <w:right w:val="single" w:color="auto" w:sz="4" w:space="0"/>
                  </w:tcBorders>
                  <w:noWrap w:val="0"/>
                  <w:vAlign w:val="center"/>
                </w:tcPr>
                <w:p>
                  <w:pPr>
                    <w:widowControl/>
                    <w:spacing w:line="380" w:lineRule="exact"/>
                    <w:jc w:val="left"/>
                    <w:rPr>
                      <w:rFonts w:hint="eastAsia" w:ascii="仿宋" w:hAnsi="仿宋" w:eastAsia="仿宋" w:cs="仿宋"/>
                      <w:kern w:val="0"/>
                      <w:sz w:val="32"/>
                      <w:szCs w:val="32"/>
                    </w:rPr>
                  </w:pPr>
                </w:p>
              </w:tc>
              <w:tc>
                <w:tcPr>
                  <w:tcW w:w="2157" w:type="dxa"/>
                  <w:tcBorders>
                    <w:top w:val="nil"/>
                    <w:left w:val="nil"/>
                    <w:bottom w:val="single" w:color="auto" w:sz="4" w:space="0"/>
                    <w:right w:val="single" w:color="auto" w:sz="4" w:space="0"/>
                  </w:tcBorders>
                  <w:noWrap w:val="0"/>
                  <w:vAlign w:val="bottom"/>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-79135665.01</w:t>
                  </w:r>
                </w:p>
              </w:tc>
              <w:tc>
                <w:tcPr>
                  <w:tcW w:w="1875" w:type="dxa"/>
                  <w:tcBorders>
                    <w:top w:val="nil"/>
                    <w:left w:val="nil"/>
                    <w:bottom w:val="single" w:color="auto" w:sz="4" w:space="0"/>
                    <w:right w:val="single" w:color="auto" w:sz="4" w:space="0"/>
                  </w:tcBorders>
                  <w:noWrap w:val="0"/>
                  <w:vAlign w:val="bottom"/>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1662501.37</w:t>
                  </w:r>
                </w:p>
              </w:tc>
              <w:tc>
                <w:tcPr>
                  <w:tcW w:w="2231" w:type="dxa"/>
                  <w:tcBorders>
                    <w:top w:val="nil"/>
                    <w:left w:val="nil"/>
                    <w:bottom w:val="single" w:color="auto" w:sz="4" w:space="0"/>
                    <w:right w:val="single" w:color="auto" w:sz="4" w:space="0"/>
                  </w:tcBorders>
                  <w:noWrap w:val="0"/>
                  <w:vAlign w:val="bottom"/>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-11683117.64</w:t>
                  </w:r>
                </w:p>
              </w:tc>
              <w:tc>
                <w:tcPr>
                  <w:tcW w:w="2320" w:type="dxa"/>
                  <w:tcBorders>
                    <w:top w:val="nil"/>
                    <w:left w:val="nil"/>
                    <w:bottom w:val="single" w:color="auto" w:sz="4" w:space="0"/>
                    <w:right w:val="single" w:color="auto" w:sz="4" w:space="0"/>
                  </w:tcBorders>
                  <w:noWrap w:val="0"/>
                  <w:vAlign w:val="bottom"/>
                </w:tcPr>
                <w:p>
                  <w:pPr>
                    <w:widowControl/>
                    <w:spacing w:line="3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-31217962.48</w:t>
                  </w:r>
                </w:p>
              </w:tc>
            </w:tr>
            <w:tr>
              <w:tblPrEx>
                <w:tblCellMar>
                  <w:top w:w="0" w:type="dxa"/>
                  <w:left w:w="108" w:type="dxa"/>
                  <w:bottom w:w="0" w:type="dxa"/>
                  <w:right w:w="108" w:type="dxa"/>
                </w:tblCellMar>
              </w:tblPrEx>
              <w:trPr>
                <w:trHeight w:val="285" w:hRule="atLeast"/>
              </w:trPr>
              <w:tc>
                <w:tcPr>
                  <w:tcW w:w="9108" w:type="dxa"/>
                  <w:gridSpan w:val="5"/>
                  <w:tcBorders>
                    <w:top w:val="single" w:color="auto" w:sz="4" w:space="0"/>
                    <w:left w:val="single" w:color="auto" w:sz="4" w:space="0"/>
                    <w:bottom w:val="single" w:color="auto" w:sz="4" w:space="0"/>
                    <w:right w:val="single" w:color="auto" w:sz="4" w:space="0"/>
                  </w:tcBorders>
                  <w:noWrap w:val="0"/>
                  <w:vAlign w:val="bottom"/>
                </w:tcPr>
                <w:p>
                  <w:pPr>
                    <w:widowControl/>
                    <w:spacing w:line="380" w:lineRule="exact"/>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差异原因主要是：</w:t>
                  </w:r>
                  <w:r>
                    <w:rPr>
                      <w:rFonts w:hint="eastAsia" w:ascii="仿宋" w:hAnsi="仿宋" w:eastAsia="仿宋" w:cs="仿宋"/>
                      <w:kern w:val="0"/>
                      <w:sz w:val="32"/>
                      <w:szCs w:val="32"/>
                      <w:lang w:eastAsia="zh-CN"/>
                    </w:rPr>
                    <w:t>工资每年进行了一年一档调标，医保、社保等费用也相应增加，公用经费有差异是因为追加预算，项目支出有差异是因为保洁面积有增，保洁费也相应追拔。</w:t>
                  </w:r>
                </w:p>
              </w:tc>
            </w:tr>
          </w:tbl>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sz w:val="32"/>
                <w:szCs w:val="32"/>
              </w:rPr>
            </w:pPr>
            <w:r>
              <w:rPr>
                <w:rFonts w:hint="eastAsia" w:ascii="仿宋" w:hAnsi="仿宋" w:eastAsia="仿宋" w:cs="仿宋"/>
                <w:b/>
                <w:sz w:val="32"/>
                <w:szCs w:val="32"/>
              </w:rPr>
              <w:t xml:space="preserve">  二、部门整体支出绩效实现情况</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sz w:val="32"/>
                <w:szCs w:val="32"/>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i w:val="0"/>
                <w:color w:val="000000"/>
                <w:sz w:val="32"/>
                <w:szCs w:val="32"/>
                <w:u w:val="none"/>
              </w:rPr>
            </w:pPr>
            <w:r>
              <w:rPr>
                <w:rFonts w:hint="eastAsia" w:ascii="仿宋" w:hAnsi="仿宋" w:eastAsia="仿宋" w:cs="仿宋"/>
                <w:b/>
                <w:sz w:val="32"/>
                <w:szCs w:val="32"/>
              </w:rPr>
              <w:t xml:space="preserve"> （一）基本支出情况</w:t>
            </w:r>
          </w:p>
        </w:tc>
      </w:tr>
      <w:tr>
        <w:tblPrEx>
          <w:tblCellMar>
            <w:top w:w="0" w:type="dxa"/>
            <w:left w:w="0" w:type="dxa"/>
            <w:bottom w:w="0" w:type="dxa"/>
            <w:right w:w="0" w:type="dxa"/>
          </w:tblCellMar>
        </w:tblPrEx>
        <w:trPr>
          <w:trHeight w:val="333" w:hRule="atLeast"/>
        </w:trPr>
        <w:tc>
          <w:tcPr>
            <w:tcW w:w="9263" w:type="dxa"/>
            <w:tcBorders>
              <w:top w:val="nil"/>
              <w:left w:val="nil"/>
              <w:bottom w:val="nil"/>
              <w:right w:val="nil"/>
            </w:tcBorders>
            <w:noWrap w:val="0"/>
            <w:tcMar>
              <w:top w:w="15" w:type="dxa"/>
              <w:left w:w="15" w:type="dxa"/>
              <w:right w:w="15" w:type="dxa"/>
            </w:tcMar>
            <w:vAlign w:val="center"/>
          </w:tcPr>
          <w:p>
            <w:pPr>
              <w:spacing w:line="64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0</w:t>
            </w:r>
            <w:r>
              <w:rPr>
                <w:rFonts w:hint="eastAsia" w:ascii="仿宋" w:hAnsi="仿宋" w:eastAsia="仿宋" w:cs="仿宋"/>
                <w:sz w:val="32"/>
                <w:szCs w:val="32"/>
                <w:lang w:val="en-US" w:eastAsia="zh-CN"/>
              </w:rPr>
              <w:t>20</w:t>
            </w:r>
            <w:r>
              <w:rPr>
                <w:rFonts w:hint="eastAsia" w:ascii="仿宋" w:hAnsi="仿宋" w:eastAsia="仿宋" w:cs="仿宋"/>
                <w:sz w:val="32"/>
                <w:szCs w:val="32"/>
              </w:rPr>
              <w:t>年三公经费预算</w:t>
            </w:r>
            <w:r>
              <w:rPr>
                <w:rFonts w:hint="eastAsia" w:ascii="仿宋" w:hAnsi="仿宋" w:eastAsia="仿宋" w:cs="仿宋"/>
                <w:sz w:val="32"/>
                <w:szCs w:val="32"/>
                <w:lang w:val="en-US" w:eastAsia="zh-CN"/>
              </w:rPr>
              <w:t>3.8</w:t>
            </w:r>
            <w:r>
              <w:rPr>
                <w:rFonts w:hint="eastAsia" w:ascii="仿宋" w:hAnsi="仿宋" w:eastAsia="仿宋" w:cs="仿宋"/>
                <w:sz w:val="32"/>
                <w:szCs w:val="32"/>
              </w:rPr>
              <w:t>万元，201</w:t>
            </w:r>
            <w:r>
              <w:rPr>
                <w:rFonts w:hint="eastAsia" w:ascii="仿宋" w:hAnsi="仿宋" w:eastAsia="仿宋" w:cs="仿宋"/>
                <w:sz w:val="32"/>
                <w:szCs w:val="32"/>
                <w:lang w:val="en-US" w:eastAsia="zh-CN"/>
              </w:rPr>
              <w:t>9</w:t>
            </w:r>
            <w:r>
              <w:rPr>
                <w:rFonts w:hint="eastAsia" w:ascii="仿宋" w:hAnsi="仿宋" w:eastAsia="仿宋" w:cs="仿宋"/>
                <w:sz w:val="32"/>
                <w:szCs w:val="32"/>
              </w:rPr>
              <w:t>年三公经费预算</w:t>
            </w:r>
            <w:r>
              <w:rPr>
                <w:rFonts w:hint="eastAsia" w:ascii="仿宋" w:hAnsi="仿宋" w:eastAsia="仿宋" w:cs="仿宋"/>
                <w:sz w:val="32"/>
                <w:szCs w:val="32"/>
                <w:lang w:val="en-US" w:eastAsia="zh-CN"/>
              </w:rPr>
              <w:t>4</w:t>
            </w:r>
            <w:r>
              <w:rPr>
                <w:rFonts w:hint="eastAsia" w:ascii="仿宋" w:hAnsi="仿宋" w:eastAsia="仿宋" w:cs="仿宋"/>
                <w:sz w:val="32"/>
                <w:szCs w:val="32"/>
              </w:rPr>
              <w:t>万元，20</w:t>
            </w:r>
            <w:r>
              <w:rPr>
                <w:rFonts w:hint="eastAsia" w:ascii="仿宋" w:hAnsi="仿宋" w:eastAsia="仿宋" w:cs="仿宋"/>
                <w:sz w:val="32"/>
                <w:szCs w:val="32"/>
                <w:lang w:val="en-US" w:eastAsia="zh-CN"/>
              </w:rPr>
              <w:t>20</w:t>
            </w:r>
            <w:r>
              <w:rPr>
                <w:rFonts w:hint="eastAsia" w:ascii="仿宋" w:hAnsi="仿宋" w:eastAsia="仿宋" w:cs="仿宋"/>
                <w:sz w:val="32"/>
                <w:szCs w:val="32"/>
              </w:rPr>
              <w:t>年三公经费实际支出</w:t>
            </w:r>
            <w:r>
              <w:rPr>
                <w:rFonts w:hint="eastAsia" w:ascii="仿宋" w:hAnsi="仿宋" w:eastAsia="仿宋" w:cs="仿宋"/>
                <w:sz w:val="32"/>
                <w:szCs w:val="32"/>
                <w:lang w:val="en-US" w:eastAsia="zh-CN"/>
              </w:rPr>
              <w:t>1953</w:t>
            </w:r>
            <w:r>
              <w:rPr>
                <w:rFonts w:hint="eastAsia" w:ascii="仿宋" w:hAnsi="仿宋" w:eastAsia="仿宋" w:cs="仿宋"/>
                <w:sz w:val="32"/>
                <w:szCs w:val="32"/>
              </w:rPr>
              <w:t>元，三公经费变动率</w:t>
            </w:r>
            <w:r>
              <w:rPr>
                <w:rFonts w:hint="eastAsia" w:ascii="仿宋" w:hAnsi="仿宋" w:eastAsia="仿宋" w:cs="仿宋"/>
                <w:sz w:val="32"/>
                <w:szCs w:val="32"/>
                <w:lang w:val="en-US" w:eastAsia="zh-CN"/>
              </w:rPr>
              <w:t>5.2%</w:t>
            </w:r>
            <w:r>
              <w:rPr>
                <w:rFonts w:hint="eastAsia" w:ascii="仿宋" w:hAnsi="仿宋" w:eastAsia="仿宋" w:cs="仿宋"/>
                <w:sz w:val="32"/>
                <w:szCs w:val="32"/>
              </w:rPr>
              <w:t>，三公经费控制率</w:t>
            </w:r>
            <w:r>
              <w:rPr>
                <w:rFonts w:hint="eastAsia" w:ascii="仿宋" w:hAnsi="仿宋" w:eastAsia="仿宋" w:cs="仿宋"/>
                <w:sz w:val="32"/>
                <w:szCs w:val="32"/>
                <w:lang w:val="en-US" w:eastAsia="zh-CN"/>
              </w:rPr>
              <w:t>48%</w:t>
            </w:r>
            <w:r>
              <w:rPr>
                <w:rFonts w:hint="eastAsia" w:ascii="仿宋" w:hAnsi="仿宋" w:eastAsia="仿宋" w:cs="仿宋"/>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640" w:firstLineChars="0"/>
              <w:jc w:val="both"/>
              <w:textAlignment w:val="center"/>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年公用经费预算</w:t>
            </w:r>
            <w:r>
              <w:rPr>
                <w:rFonts w:hint="eastAsia" w:ascii="仿宋" w:hAnsi="仿宋" w:eastAsia="仿宋" w:cs="仿宋"/>
                <w:sz w:val="32"/>
                <w:szCs w:val="32"/>
                <w:lang w:val="en-US" w:eastAsia="zh-CN"/>
              </w:rPr>
              <w:t>194.25</w:t>
            </w:r>
            <w:r>
              <w:rPr>
                <w:rFonts w:hint="eastAsia" w:ascii="仿宋" w:hAnsi="仿宋" w:eastAsia="仿宋" w:cs="仿宋"/>
                <w:sz w:val="32"/>
                <w:szCs w:val="32"/>
              </w:rPr>
              <w:t>万元，实际支出</w:t>
            </w:r>
            <w:r>
              <w:rPr>
                <w:rFonts w:hint="eastAsia" w:ascii="仿宋" w:hAnsi="仿宋" w:eastAsia="仿宋" w:cs="仿宋"/>
                <w:sz w:val="32"/>
                <w:szCs w:val="32"/>
                <w:lang w:val="en-US" w:eastAsia="zh-CN"/>
              </w:rPr>
              <w:t>1362.56</w:t>
            </w:r>
            <w:r>
              <w:rPr>
                <w:rFonts w:hint="eastAsia" w:ascii="仿宋" w:hAnsi="仿宋" w:eastAsia="仿宋" w:cs="仿宋"/>
                <w:sz w:val="32"/>
                <w:szCs w:val="32"/>
              </w:rPr>
              <w:t>元，公用经费总体控制率</w:t>
            </w:r>
            <w:r>
              <w:rPr>
                <w:rFonts w:hint="eastAsia" w:ascii="仿宋" w:hAnsi="仿宋" w:eastAsia="仿宋" w:cs="仿宋"/>
                <w:sz w:val="32"/>
                <w:szCs w:val="32"/>
                <w:lang w:val="en-US" w:eastAsia="zh-CN"/>
              </w:rPr>
              <w:t>86%</w:t>
            </w:r>
            <w:r>
              <w:rPr>
                <w:rFonts w:hint="eastAsia" w:ascii="仿宋" w:hAnsi="仿宋" w:eastAsia="仿宋" w:cs="仿宋"/>
                <w:sz w:val="32"/>
                <w:szCs w:val="32"/>
              </w:rPr>
              <w:t>。</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420" w:lineRule="exact"/>
              <w:ind w:firstLine="640" w:firstLineChars="0"/>
              <w:jc w:val="both"/>
              <w:textAlignment w:val="center"/>
              <w:rPr>
                <w:rFonts w:hint="eastAsia" w:ascii="仿宋" w:hAnsi="仿宋" w:eastAsia="仿宋" w:cs="仿宋"/>
                <w:b/>
                <w:sz w:val="32"/>
                <w:szCs w:val="32"/>
              </w:rPr>
            </w:pPr>
            <w:r>
              <w:rPr>
                <w:rFonts w:hint="eastAsia" w:ascii="仿宋" w:hAnsi="仿宋" w:eastAsia="仿宋" w:cs="仿宋"/>
                <w:b/>
                <w:sz w:val="32"/>
                <w:szCs w:val="32"/>
              </w:rPr>
              <w:t>项目组织实施情况</w:t>
            </w:r>
          </w:p>
          <w:p>
            <w:pPr>
              <w:pStyle w:val="5"/>
              <w:keepNext w:val="0"/>
              <w:keepLines w:val="0"/>
              <w:pageBreakBefore w:val="0"/>
              <w:widowControl w:val="0"/>
              <w:shd w:val="clear" w:color="auto" w:fill="FFFFFF"/>
              <w:kinsoku/>
              <w:wordWrap/>
              <w:overflowPunct/>
              <w:topLinePunct/>
              <w:autoSpaceDE/>
              <w:autoSpaceDN/>
              <w:bidi w:val="0"/>
              <w:adjustRightInd w:val="0"/>
              <w:snapToGrid w:val="0"/>
              <w:spacing w:before="0" w:beforeAutospacing="0" w:after="288" w:afterAutospacing="0" w:line="460" w:lineRule="exact"/>
              <w:ind w:firstLine="643" w:firstLineChars="200"/>
              <w:contextualSpacing/>
              <w:textAlignment w:val="auto"/>
              <w:rPr>
                <w:rFonts w:hint="eastAsia" w:ascii="仿宋" w:hAnsi="仿宋" w:eastAsia="仿宋" w:cs="仿宋"/>
                <w:color w:val="auto"/>
                <w:sz w:val="32"/>
                <w:szCs w:val="32"/>
                <w:lang w:eastAsia="zh-CN"/>
              </w:rPr>
            </w:pPr>
            <w:r>
              <w:rPr>
                <w:rFonts w:hint="eastAsia" w:ascii="仿宋" w:hAnsi="仿宋" w:eastAsia="仿宋" w:cs="仿宋"/>
                <w:b/>
                <w:sz w:val="32"/>
                <w:szCs w:val="32"/>
                <w:lang w:val="en-US" w:eastAsia="zh-CN"/>
              </w:rPr>
              <w:t xml:space="preserve"> </w:t>
            </w:r>
            <w:r>
              <w:rPr>
                <w:rFonts w:hint="eastAsia" w:ascii="仿宋" w:hAnsi="仿宋" w:eastAsia="仿宋" w:cs="仿宋"/>
                <w:b w:val="0"/>
                <w:bCs/>
                <w:sz w:val="32"/>
                <w:szCs w:val="32"/>
                <w:lang w:val="en-US" w:eastAsia="zh-CN"/>
              </w:rPr>
              <w:t>根据职能，环卫局主要负责城区环境卫生工作、余土执法、环卫监察及市委市政府下达的各项工作工作。本年度我</w:t>
            </w:r>
            <w:r>
              <w:rPr>
                <w:rFonts w:hint="eastAsia" w:ascii="仿宋" w:hAnsi="仿宋" w:eastAsia="仿宋" w:cs="仿宋"/>
                <w:color w:val="auto"/>
                <w:sz w:val="32"/>
                <w:szCs w:val="32"/>
                <w:lang w:eastAsia="zh-CN"/>
              </w:rPr>
              <w:t>理</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以十九大精神为指针，以“两城同创”“无废城市”为契机、结合“城区环卫服务外包一体化”</w:t>
            </w:r>
            <w:r>
              <w:rPr>
                <w:rFonts w:hint="eastAsia" w:ascii="仿宋" w:hAnsi="仿宋" w:eastAsia="仿宋" w:cs="仿宋"/>
                <w:color w:val="auto"/>
                <w:sz w:val="32"/>
                <w:szCs w:val="32"/>
              </w:rPr>
              <w:t>工作，以“转变作风作表率，为民务实抓发展”为主基调，坚持“跨前一步、为民服务”的工作理念，不断完善机制，有序推进各项工作，实现了“容貌整洁、管理有序、环境美化”的市容环境建设和管理新目标</w:t>
            </w:r>
            <w:r>
              <w:rPr>
                <w:rFonts w:hint="eastAsia" w:ascii="仿宋" w:hAnsi="仿宋" w:eastAsia="仿宋" w:cs="仿宋"/>
                <w:color w:val="auto"/>
                <w:sz w:val="32"/>
                <w:szCs w:val="32"/>
                <w:lang w:eastAsia="zh-CN"/>
              </w:rPr>
              <w:t>，全面提升了我市城区环境卫生质量，为打造干干净净、漂漂亮亮的美丽瑞金奠定基础。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三、部门整体支出绩效中存在问题及改进措施</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经费管理制度</w:t>
            </w:r>
            <w:r>
              <w:rPr>
                <w:rFonts w:hint="eastAsia" w:ascii="仿宋" w:hAnsi="仿宋" w:eastAsia="仿宋"/>
                <w:sz w:val="32"/>
                <w:szCs w:val="32"/>
              </w:rPr>
              <w:t>不完善。应完善</w:t>
            </w:r>
            <w:r>
              <w:rPr>
                <w:rFonts w:ascii="仿宋" w:hAnsi="仿宋" w:eastAsia="仿宋"/>
                <w:sz w:val="32"/>
                <w:szCs w:val="32"/>
              </w:rPr>
              <w:t>办公费、电话费、邮资费等单项的管理制度，</w:t>
            </w:r>
            <w:r>
              <w:rPr>
                <w:rFonts w:hint="eastAsia" w:ascii="仿宋" w:hAnsi="仿宋" w:eastAsia="仿宋"/>
                <w:sz w:val="32"/>
                <w:szCs w:val="32"/>
              </w:rPr>
              <w:t>完善</w:t>
            </w:r>
            <w:r>
              <w:rPr>
                <w:rFonts w:ascii="仿宋" w:hAnsi="仿宋" w:eastAsia="仿宋"/>
                <w:sz w:val="32"/>
                <w:szCs w:val="32"/>
              </w:rPr>
              <w:t>接待、</w:t>
            </w:r>
            <w:r>
              <w:rPr>
                <w:rFonts w:hint="eastAsia" w:ascii="仿宋" w:hAnsi="仿宋" w:eastAsia="仿宋"/>
                <w:sz w:val="32"/>
                <w:szCs w:val="32"/>
              </w:rPr>
              <w:t>其他交通费用</w:t>
            </w:r>
            <w:r>
              <w:rPr>
                <w:rFonts w:ascii="仿宋" w:hAnsi="仿宋" w:eastAsia="仿宋"/>
                <w:sz w:val="32"/>
                <w:szCs w:val="32"/>
              </w:rPr>
              <w:t>等相关性的管理制度。从单位内部建立起有效的支出约束机制，做到有章可循，按制办事，以堵塞漏洞，节约资金，防止经费支</w:t>
            </w:r>
            <w:r>
              <w:rPr>
                <w:rFonts w:ascii="仿宋" w:hAnsi="仿宋" w:eastAsia="仿宋"/>
                <w:spacing w:val="-20"/>
                <w:sz w:val="32"/>
                <w:szCs w:val="32"/>
              </w:rPr>
              <w:t>出中的跑、冒、滴、漏，最大</w:t>
            </w:r>
            <w:r>
              <w:rPr>
                <w:rFonts w:ascii="仿宋" w:hAnsi="仿宋" w:eastAsia="仿宋"/>
                <w:sz w:val="32"/>
                <w:szCs w:val="32"/>
              </w:rPr>
              <w:t>限度地提高各项资金的使用效益。</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预算制度</w:t>
            </w:r>
            <w:r>
              <w:rPr>
                <w:rFonts w:hint="eastAsia" w:ascii="仿宋" w:hAnsi="仿宋" w:eastAsia="仿宋"/>
                <w:sz w:val="32"/>
                <w:szCs w:val="32"/>
              </w:rPr>
              <w:t>不完善</w:t>
            </w:r>
            <w:r>
              <w:rPr>
                <w:rFonts w:ascii="仿宋" w:hAnsi="仿宋" w:eastAsia="仿宋"/>
                <w:sz w:val="32"/>
                <w:szCs w:val="32"/>
              </w:rPr>
              <w:t>。一方面，按照公共财政管理的要求，建立起规范、统一的预算会计体系，同时将权责发生制确认基础引入预算会计。同时，推进预算收支科目改革，对于现行行政事业单位会计制度中不适应部门预算改革需要的科目，要根据现行预算管理的要求进行修订，为各项管理提供有利的基础条件。</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内部控制制度</w:t>
            </w:r>
            <w:r>
              <w:rPr>
                <w:rFonts w:hint="eastAsia" w:ascii="仿宋" w:hAnsi="仿宋" w:eastAsia="仿宋"/>
                <w:sz w:val="32"/>
                <w:szCs w:val="32"/>
              </w:rPr>
              <w:t>不完善</w:t>
            </w:r>
            <w:r>
              <w:rPr>
                <w:rFonts w:ascii="仿宋" w:hAnsi="仿宋" w:eastAsia="仿宋"/>
                <w:sz w:val="32"/>
                <w:szCs w:val="32"/>
              </w:rPr>
              <w:t>。预算一经下达，就要严格执行。在执行过程中，可用完善的内部控制制度约束财务行为，主要方法是：</w:t>
            </w:r>
            <w:r>
              <w:rPr>
                <w:rFonts w:hint="eastAsia" w:ascii="仿宋" w:hAnsi="仿宋" w:eastAsia="仿宋"/>
                <w:sz w:val="32"/>
                <w:szCs w:val="32"/>
              </w:rPr>
              <w:fldChar w:fldCharType="begin"/>
            </w:r>
            <w:r>
              <w:rPr>
                <w:rFonts w:hint="eastAsia" w:ascii="仿宋" w:hAnsi="仿宋" w:eastAsia="仿宋"/>
                <w:sz w:val="32"/>
                <w:szCs w:val="32"/>
              </w:rPr>
              <w:instrText xml:space="preserve"> = 1 \* GB3 \* MERGEFORMAT </w:instrText>
            </w:r>
            <w:r>
              <w:rPr>
                <w:rFonts w:hint="eastAsia" w:ascii="仿宋" w:hAnsi="仿宋" w:eastAsia="仿宋"/>
                <w:sz w:val="32"/>
                <w:szCs w:val="32"/>
              </w:rPr>
              <w:fldChar w:fldCharType="separate"/>
            </w:r>
            <w:r>
              <w:rPr>
                <w:rFonts w:hint="eastAsia" w:ascii="仿宋" w:hAnsi="仿宋" w:eastAsia="仿宋"/>
                <w:sz w:val="32"/>
                <w:szCs w:val="32"/>
              </w:rPr>
              <w:t>①</w:t>
            </w:r>
            <w:r>
              <w:rPr>
                <w:rFonts w:hint="eastAsia" w:ascii="仿宋" w:hAnsi="仿宋" w:eastAsia="仿宋"/>
                <w:sz w:val="32"/>
                <w:szCs w:val="32"/>
              </w:rPr>
              <w:fldChar w:fldCharType="end"/>
            </w:r>
            <w:r>
              <w:rPr>
                <w:rFonts w:ascii="仿宋" w:hAnsi="仿宋" w:eastAsia="仿宋"/>
                <w:sz w:val="32"/>
                <w:szCs w:val="32"/>
              </w:rPr>
              <w:t>岗位分工控制，保证不相容职务相互分离。</w:t>
            </w:r>
            <w:r>
              <w:rPr>
                <w:rFonts w:hint="eastAsia" w:ascii="仿宋" w:hAnsi="仿宋" w:eastAsia="仿宋"/>
                <w:sz w:val="32"/>
                <w:szCs w:val="32"/>
              </w:rPr>
              <w:fldChar w:fldCharType="begin"/>
            </w:r>
            <w:r>
              <w:rPr>
                <w:rFonts w:hint="eastAsia" w:ascii="仿宋" w:hAnsi="仿宋" w:eastAsia="仿宋"/>
                <w:sz w:val="32"/>
                <w:szCs w:val="32"/>
              </w:rPr>
              <w:instrText xml:space="preserve"> = 2 \* GB3 \* MERGEFORMAT </w:instrText>
            </w:r>
            <w:r>
              <w:rPr>
                <w:rFonts w:hint="eastAsia" w:ascii="仿宋" w:hAnsi="仿宋" w:eastAsia="仿宋"/>
                <w:sz w:val="32"/>
                <w:szCs w:val="32"/>
              </w:rPr>
              <w:fldChar w:fldCharType="separate"/>
            </w:r>
            <w:r>
              <w:rPr>
                <w:rFonts w:hint="eastAsia" w:ascii="仿宋" w:hAnsi="仿宋" w:eastAsia="仿宋"/>
                <w:sz w:val="32"/>
                <w:szCs w:val="32"/>
              </w:rPr>
              <w:t>②</w:t>
            </w:r>
            <w:r>
              <w:rPr>
                <w:rFonts w:hint="eastAsia" w:ascii="仿宋" w:hAnsi="仿宋" w:eastAsia="仿宋"/>
                <w:sz w:val="32"/>
                <w:szCs w:val="32"/>
              </w:rPr>
              <w:fldChar w:fldCharType="end"/>
            </w:r>
            <w:r>
              <w:rPr>
                <w:rFonts w:ascii="仿宋" w:hAnsi="仿宋" w:eastAsia="仿宋"/>
                <w:sz w:val="32"/>
                <w:szCs w:val="32"/>
              </w:rPr>
              <w:t>授权批准控制，严格遵循授权范围和权限，重大会计事项建立集体审批制度。</w:t>
            </w:r>
            <w:r>
              <w:rPr>
                <w:rFonts w:hint="eastAsia" w:ascii="仿宋" w:hAnsi="仿宋" w:eastAsia="仿宋"/>
                <w:sz w:val="32"/>
                <w:szCs w:val="32"/>
              </w:rPr>
              <w:fldChar w:fldCharType="begin"/>
            </w:r>
            <w:r>
              <w:rPr>
                <w:rFonts w:hint="eastAsia" w:ascii="仿宋" w:hAnsi="仿宋" w:eastAsia="仿宋"/>
                <w:sz w:val="32"/>
                <w:szCs w:val="32"/>
              </w:rPr>
              <w:instrText xml:space="preserve"> = 3 \* GB3 \* MERGEFORMAT </w:instrText>
            </w:r>
            <w:r>
              <w:rPr>
                <w:rFonts w:hint="eastAsia" w:ascii="仿宋" w:hAnsi="仿宋" w:eastAsia="仿宋"/>
                <w:sz w:val="32"/>
                <w:szCs w:val="32"/>
              </w:rPr>
              <w:fldChar w:fldCharType="separate"/>
            </w:r>
            <w:r>
              <w:rPr>
                <w:rFonts w:hint="eastAsia" w:ascii="仿宋" w:hAnsi="仿宋" w:eastAsia="仿宋"/>
                <w:sz w:val="32"/>
                <w:szCs w:val="32"/>
              </w:rPr>
              <w:t>③</w:t>
            </w:r>
            <w:r>
              <w:rPr>
                <w:rFonts w:hint="eastAsia" w:ascii="仿宋" w:hAnsi="仿宋" w:eastAsia="仿宋"/>
                <w:sz w:val="32"/>
                <w:szCs w:val="32"/>
              </w:rPr>
              <w:fldChar w:fldCharType="end"/>
            </w:r>
            <w:r>
              <w:rPr>
                <w:rFonts w:ascii="仿宋" w:hAnsi="仿宋" w:eastAsia="仿宋"/>
                <w:sz w:val="32"/>
                <w:szCs w:val="32"/>
              </w:rPr>
              <w:t>会计系统控制，制定符合单位的会计制度和岗位责任制等。</w:t>
            </w:r>
            <w:r>
              <w:rPr>
                <w:rFonts w:hint="eastAsia" w:ascii="仿宋" w:hAnsi="仿宋" w:eastAsia="仿宋"/>
                <w:sz w:val="32"/>
                <w:szCs w:val="32"/>
              </w:rPr>
              <w:fldChar w:fldCharType="begin"/>
            </w:r>
            <w:r>
              <w:rPr>
                <w:rFonts w:hint="eastAsia" w:ascii="仿宋" w:hAnsi="仿宋" w:eastAsia="仿宋"/>
                <w:sz w:val="32"/>
                <w:szCs w:val="32"/>
              </w:rPr>
              <w:instrText xml:space="preserve"> = 4 \* GB3 \* MERGEFORMAT </w:instrText>
            </w:r>
            <w:r>
              <w:rPr>
                <w:rFonts w:hint="eastAsia" w:ascii="仿宋" w:hAnsi="仿宋" w:eastAsia="仿宋"/>
                <w:sz w:val="32"/>
                <w:szCs w:val="32"/>
              </w:rPr>
              <w:fldChar w:fldCharType="separate"/>
            </w:r>
            <w:r>
              <w:rPr>
                <w:rFonts w:hint="eastAsia" w:ascii="仿宋" w:hAnsi="仿宋" w:eastAsia="仿宋"/>
                <w:sz w:val="32"/>
                <w:szCs w:val="32"/>
              </w:rPr>
              <w:t>④</w:t>
            </w:r>
            <w:r>
              <w:rPr>
                <w:rFonts w:hint="eastAsia" w:ascii="仿宋" w:hAnsi="仿宋" w:eastAsia="仿宋"/>
                <w:sz w:val="32"/>
                <w:szCs w:val="32"/>
              </w:rPr>
              <w:fldChar w:fldCharType="end"/>
            </w:r>
            <w:r>
              <w:rPr>
                <w:rFonts w:ascii="仿宋" w:hAnsi="仿宋" w:eastAsia="仿宋"/>
                <w:sz w:val="32"/>
                <w:szCs w:val="32"/>
              </w:rPr>
              <w:t>财产清查控制，采取定期盘点的措施确保资产的安全完整。</w:t>
            </w:r>
            <w:r>
              <w:rPr>
                <w:rFonts w:hint="eastAsia" w:ascii="仿宋" w:hAnsi="仿宋" w:eastAsia="仿宋"/>
                <w:sz w:val="32"/>
                <w:szCs w:val="32"/>
              </w:rPr>
              <w:fldChar w:fldCharType="begin"/>
            </w:r>
            <w:r>
              <w:rPr>
                <w:rFonts w:hint="eastAsia" w:ascii="仿宋" w:hAnsi="仿宋" w:eastAsia="仿宋"/>
                <w:sz w:val="32"/>
                <w:szCs w:val="32"/>
              </w:rPr>
              <w:instrText xml:space="preserve"> = 5 \* GB3 \* MERGEFORMAT </w:instrText>
            </w:r>
            <w:r>
              <w:rPr>
                <w:rFonts w:hint="eastAsia" w:ascii="仿宋" w:hAnsi="仿宋" w:eastAsia="仿宋"/>
                <w:sz w:val="32"/>
                <w:szCs w:val="32"/>
              </w:rPr>
              <w:fldChar w:fldCharType="separate"/>
            </w:r>
            <w:r>
              <w:rPr>
                <w:rFonts w:hint="eastAsia" w:ascii="仿宋" w:hAnsi="仿宋" w:eastAsia="仿宋"/>
                <w:sz w:val="32"/>
                <w:szCs w:val="32"/>
              </w:rPr>
              <w:t>⑤</w:t>
            </w:r>
            <w:r>
              <w:rPr>
                <w:rFonts w:hint="eastAsia" w:ascii="仿宋" w:hAnsi="仿宋" w:eastAsia="仿宋"/>
                <w:sz w:val="32"/>
                <w:szCs w:val="32"/>
              </w:rPr>
              <w:fldChar w:fldCharType="end"/>
            </w:r>
            <w:r>
              <w:rPr>
                <w:rFonts w:ascii="仿宋" w:hAnsi="仿宋" w:eastAsia="仿宋"/>
                <w:sz w:val="32"/>
                <w:szCs w:val="32"/>
              </w:rPr>
              <w:t>内部报告控制，及时全面地反映经济活动的情况。</w:t>
            </w:r>
            <w:r>
              <w:rPr>
                <w:rFonts w:hint="eastAsia" w:ascii="仿宋" w:hAnsi="仿宋" w:eastAsia="仿宋"/>
                <w:sz w:val="32"/>
                <w:szCs w:val="32"/>
              </w:rPr>
              <w:fldChar w:fldCharType="begin"/>
            </w:r>
            <w:r>
              <w:rPr>
                <w:rFonts w:hint="eastAsia" w:ascii="仿宋" w:hAnsi="仿宋" w:eastAsia="仿宋"/>
                <w:sz w:val="32"/>
                <w:szCs w:val="32"/>
              </w:rPr>
              <w:instrText xml:space="preserve"> = 6 \* GB3 \* MERGEFORMAT </w:instrText>
            </w:r>
            <w:r>
              <w:rPr>
                <w:rFonts w:hint="eastAsia" w:ascii="仿宋" w:hAnsi="仿宋" w:eastAsia="仿宋"/>
                <w:sz w:val="32"/>
                <w:szCs w:val="32"/>
              </w:rPr>
              <w:fldChar w:fldCharType="separate"/>
            </w:r>
            <w:r>
              <w:rPr>
                <w:rFonts w:hint="eastAsia" w:ascii="仿宋" w:hAnsi="仿宋" w:eastAsia="仿宋"/>
                <w:sz w:val="32"/>
                <w:szCs w:val="32"/>
              </w:rPr>
              <w:t>⑥</w:t>
            </w:r>
            <w:r>
              <w:rPr>
                <w:rFonts w:hint="eastAsia" w:ascii="仿宋" w:hAnsi="仿宋" w:eastAsia="仿宋"/>
                <w:sz w:val="32"/>
                <w:szCs w:val="32"/>
              </w:rPr>
              <w:fldChar w:fldCharType="end"/>
            </w:r>
            <w:r>
              <w:rPr>
                <w:rFonts w:ascii="仿宋" w:hAnsi="仿宋" w:eastAsia="仿宋"/>
                <w:sz w:val="32"/>
                <w:szCs w:val="32"/>
              </w:rPr>
              <w:t>电子信息技术控制，加强电子信息系统的开发和维护，尽量减少人为操纵因素的影响。内审部门还应经常对内部控制制度进行评价，及时发现内部控制的薄弱环节，制定改进措施。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jc w:val="both"/>
              <w:textAlignment w:val="center"/>
              <w:rPr>
                <w:rFonts w:hint="eastAsia" w:ascii="仿宋" w:hAnsi="仿宋" w:eastAsia="仿宋" w:cs="仿宋"/>
                <w:b/>
                <w:sz w:val="32"/>
                <w:szCs w:val="32"/>
                <w:lang w:val="en-US" w:eastAsia="zh-CN"/>
              </w:rPr>
            </w:pPr>
          </w:p>
        </w:tc>
      </w:tr>
      <w:tr>
        <w:tblPrEx>
          <w:tblCellMar>
            <w:top w:w="0" w:type="dxa"/>
            <w:left w:w="0" w:type="dxa"/>
            <w:bottom w:w="0" w:type="dxa"/>
            <w:right w:w="0" w:type="dxa"/>
          </w:tblCellMar>
        </w:tblPrEx>
        <w:trPr>
          <w:trHeight w:val="333" w:hRule="atLeast"/>
        </w:trPr>
        <w:tc>
          <w:tcPr>
            <w:tcW w:w="9263"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_GB2312" w:hAnsi="仿宋_GB2312" w:eastAsia="仿宋_GB2312" w:cs="仿宋_GB2312"/>
                <w:i w:val="0"/>
                <w:color w:val="000000"/>
                <w:sz w:val="32"/>
                <w:szCs w:val="32"/>
                <w:u w:val="none"/>
              </w:rPr>
            </w:pPr>
            <w:r>
              <w:rPr>
                <w:rFonts w:hint="eastAsia" w:ascii="黑体" w:hAnsi="黑体" w:eastAsia="黑体" w:cs="黑体"/>
                <w:i w:val="0"/>
                <w:color w:val="000000"/>
                <w:kern w:val="0"/>
                <w:sz w:val="32"/>
                <w:szCs w:val="32"/>
                <w:u w:val="none"/>
                <w:lang w:val="en-US" w:eastAsia="zh-CN" w:bidi="ar"/>
              </w:rPr>
              <w:t>四、绩效自评结果拟应用和公开情况</w:t>
            </w:r>
          </w:p>
        </w:tc>
      </w:tr>
    </w:tbl>
    <w:p/>
    <w:p/>
    <w:p/>
    <w:p/>
    <w:p/>
    <w:p/>
    <w:p/>
    <w:p/>
    <w:p/>
    <w:p/>
    <w:p/>
    <w:p/>
    <w:p/>
    <w:p/>
    <w:p>
      <w:pPr>
        <w:pStyle w:val="2"/>
        <w:ind w:left="0"/>
        <w:jc w:val="center"/>
        <w:rPr>
          <w:b w:val="0"/>
          <w:lang w:val="en-US" w:bidi="ar-SA"/>
        </w:rPr>
      </w:pPr>
      <w:r>
        <w:rPr>
          <w:rFonts w:hint="eastAsia"/>
          <w:b w:val="0"/>
          <w:lang w:val="en-US" w:bidi="ar-SA"/>
        </w:rPr>
        <w:t>环卫局项目支出绩效评价报告</w:t>
      </w:r>
    </w:p>
    <w:p>
      <w:pPr>
        <w:spacing w:before="70"/>
        <w:jc w:val="left"/>
        <w:rPr>
          <w:rFonts w:ascii="宋体"/>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概况。该其项目是根据江西天正建设项目管理咨询有限公司组织招标的招标结果和招标文件的要求，依据相关法律法规的规定，在平等、自愿、有偿、诚实信用和协商一致的基础上，签订城区环境卫生保洁服务一体化工作。现将瑞金市区环卫保洁服务的各分块项目整合为一体化服务运营项目，实现城区市场化保洁全覆盖。主要内容包括：城区范围内的城市道路、公共场所、河道、农贸市场清扫保洁服务、城区内所有垃圾收集清运，公厕、中转站提升改造维护管理，“牛皮癣”清除，护栏清洗，环卫专用车辆和设施、设备及保洁人员配置、维护保养管理，特殊情况下的环卫保障，垃圾分类试点和建立环卫智能管理系统。该项目年资金投入62,753,353.87元。采用用“先作业，后付款”，按月度支付服务款项，即在乙方当月作业完成后，由甲方根据考核办法对乙方的服务情况进行考核，以考核成绩在市财政下拔经费后按比例支付上月的服务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绩效目标。总体目标达到“双创”标准。阶段性目标道路应做到：1、一天两普扫，全天候保洁，道路达到“五无四净”。2、车行道整体见本色；无垃圾积存；无积尘积泥和油渍；路面沿石立面、交通隔离设施干净整洁无积尘积泥。3、垃圾收集容器设置规范、干净整洁。4、公厕应全天候开放，有专人管理，每天应全面冲洗两次以上并随时保洁。5、保洁道路每天至少洗扫一遍，洒水二遍，人行道每周冲洗一遍、护栏每周冲洗一遍。5、生活垃圾应采取密闭方式进行转运。</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二、绩效评价工作开展情况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绩效评价的目的是加强预算绩效管理，强化支出责任，建立科学合理的资金支出，提高资金使用效益。</w:t>
      </w:r>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w:t>
      </w:r>
      <w:r>
        <w:rPr>
          <w:rFonts w:hint="eastAsia" w:ascii="仿宋_GB2312" w:hAnsi="仿宋_GB2312" w:eastAsia="仿宋_GB2312" w:cs="仿宋_GB2312"/>
          <w:spacing w:val="-104"/>
          <w:sz w:val="32"/>
          <w:szCs w:val="32"/>
        </w:rPr>
        <w:t>）</w:t>
      </w:r>
      <w:r>
        <w:rPr>
          <w:rFonts w:hint="eastAsia" w:ascii="仿宋_GB2312" w:hAnsi="仿宋_GB2312" w:eastAsia="仿宋_GB2312" w:cs="仿宋_GB2312"/>
          <w:sz w:val="32"/>
          <w:szCs w:val="32"/>
        </w:rPr>
        <w:t>、评价方法、评价标准等。</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科学规范原则，绩效评价应当严格执行规定的程序。按照科学可行的要求，采用定量与定性分析相结合的方法。  </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公正公开原则。</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分级分类原则。方法：通过日督查、周评比、月总结、年度考核的措施，清扫保洁道路应做到一天两普扫，全天候保洁，道路达到“五无四净”。生活垃圾做到日产日清。</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三、绩效评价指</w:t>
      </w:r>
      <w:bookmarkStart w:id="0" w:name="_GoBack"/>
      <w:bookmarkEnd w:id="0"/>
      <w:r>
        <w:rPr>
          <w:rFonts w:hint="eastAsia" w:ascii="黑体" w:hAnsi="黑体" w:eastAsia="黑体" w:cs="黑体"/>
          <w:kern w:val="0"/>
          <w:sz w:val="30"/>
          <w:szCs w:val="30"/>
        </w:rPr>
        <w:t>标分析情况。</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（一）项目资金情况分析</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1、项目预算6275.34万元，全部用于一体化保洁经费，合理分配预算资金。</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2、项目资金实际到位6275.34万元，项目资金每月拔付。</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3、项目资金实际支出情况为6275.34万元，全部用于清扫保洁费用，按照预算情况合理使用项目资金，加强管理，厉行节约。</w:t>
      </w:r>
    </w:p>
    <w:p>
      <w:pPr>
        <w:spacing w:line="560" w:lineRule="exact"/>
        <w:ind w:left="106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四、评价结论和绩效分析</w:t>
      </w:r>
    </w:p>
    <w:p>
      <w:pPr>
        <w:spacing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评价结论：评价结果、主要绩效：2020年，已完成瑞金市城区环卫一体化保洁面积7709021平方米，实现了城区市场化保洁全覆盖，改善了居民生活环境，提升了城市品味，圆满地完成了政府交办的各项工作任务。</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（二）绩效分析：项目决策、项目管理、项目绩效、成本构成分析:</w:t>
      </w:r>
      <w:r>
        <w:rPr>
          <w:rFonts w:hint="eastAsia" w:ascii="仿宋_GB2312" w:hAnsi="仿宋_GB2312" w:eastAsia="仿宋_GB2312" w:cs="仿宋_GB2312"/>
          <w:kern w:val="0"/>
          <w:sz w:val="32"/>
          <w:szCs w:val="32"/>
        </w:rPr>
        <w:t>瑞金市环境卫生管理局各项工作紧紧围绕创建“全国文明城市”“全国卫生城市”“无废城市”、疫情防控等工作，按照市委、市政府的指示精神和工作部署，组织力量大力开展城区环境卫生整治工作及公共区域消杀工作，周密安排，规范管理，不断完善机制，在工作中不断提升境界、提升层次，使得城区环境卫生有了明显的改善。</w:t>
      </w:r>
      <w:r>
        <w:rPr>
          <w:rFonts w:hint="eastAsia" w:ascii="仿宋" w:hAnsi="仿宋" w:eastAsia="仿宋" w:cs="仿宋"/>
          <w:kern w:val="0"/>
          <w:sz w:val="32"/>
          <w:szCs w:val="32"/>
        </w:rPr>
        <w:t>坚持城乡一体化发展思路，积极改善居民生活环境，提升城市品味，较好地完成了各项工作目标任务，全市城区保洁得到了良好局面，努力为我市营造优美的城区环境卫生贡献力量,资金使用严格按照预算标准，合理安排经费，厉行节约，扎实稳步的开展，取得了良好效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五、主要经验及做法、存在的问题及原因分析</w:t>
      </w:r>
    </w:p>
    <w:p>
      <w:pPr>
        <w:pStyle w:val="5"/>
        <w:widowControl/>
        <w:shd w:val="clear" w:color="auto" w:fill="FFFFFF"/>
        <w:spacing w:before="255" w:beforeAutospacing="0" w:after="255" w:afterAutospacing="0" w:line="560" w:lineRule="exact"/>
        <w:ind w:firstLine="645"/>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近年来，随着城市建设步伐加快，瑞金市城区面貌发生翻天覆地的变化，“红色故都”形象不断彰显。我局在市委市政府的领导下，对环卫一体化保洁公司（龙马保洁公司）在日常工作进行高质量有效的进行监管，龙马公司对城区的环境卫生保洁工作认真负责，能全员落实责任到人，分片分点定时不定时的查岗督促检查城区各处的环境卫生保洁任务及质量的完成情况。</w:t>
      </w:r>
    </w:p>
    <w:p>
      <w:pPr>
        <w:pStyle w:val="5"/>
        <w:widowControl/>
        <w:shd w:val="clear" w:color="auto" w:fill="FFFFFF"/>
        <w:spacing w:before="255" w:beforeAutospacing="0" w:after="255" w:afterAutospacing="0" w:line="560" w:lineRule="exact"/>
        <w:ind w:firstLine="645"/>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城区的卫生清扫保洁范围也随着城市建设而加大，现城区的道路清扫保洁，路两边的绿化带管理，人行道树管理，人行道地砖修复等工作存在着职责范围、界限不清的问题，导致出现问题后不能及时得到解决。保洁公司聘用的保洁员大多数年龄偏大，存在一定安全风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六、有关建议</w:t>
      </w:r>
    </w:p>
    <w:p>
      <w:pPr>
        <w:pStyle w:val="5"/>
        <w:widowControl/>
        <w:shd w:val="clear" w:color="auto" w:fill="FFFFFF"/>
        <w:spacing w:before="255" w:beforeAutospacing="0" w:after="255" w:afterAutospacing="0" w:line="560" w:lineRule="exact"/>
        <w:ind w:firstLine="645"/>
        <w:rPr>
          <w:rFonts w:ascii="仿宋" w:hAnsi="仿宋" w:eastAsia="仿宋" w:cs="仿宋"/>
          <w:sz w:val="32"/>
          <w:szCs w:val="32"/>
        </w:rPr>
      </w:pPr>
      <w:r>
        <w:rPr>
          <w:rFonts w:hint="eastAsia" w:ascii="仿宋" w:hAnsi="仿宋" w:eastAsia="仿宋" w:cs="仿宋"/>
          <w:color w:val="333333"/>
          <w:sz w:val="32"/>
          <w:szCs w:val="32"/>
          <w:shd w:val="clear" w:color="auto" w:fill="FFFFFF"/>
        </w:rPr>
        <w:t>制定相应管理制度和办法，理顺责权范围，加强对瑞金城区卫生清扫保洁的管理，进一步优化城区环境。保洁公司应尽量不要聘用年龄偏大的保洁人员，规避风险。</w:t>
      </w:r>
    </w:p>
    <w:p>
      <w:pPr>
        <w:numPr>
          <w:ilvl w:val="0"/>
          <w:numId w:val="7"/>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其他需要说明的问题</w:t>
      </w:r>
    </w:p>
    <w:p>
      <w:pPr>
        <w:spacing w:line="560" w:lineRule="exact"/>
        <w:ind w:left="420" w:leftChars="200"/>
        <w:rPr>
          <w:rFonts w:ascii="仿宋" w:hAnsi="仿宋" w:eastAsia="仿宋" w:cs="仿宋"/>
          <w:sz w:val="32"/>
          <w:szCs w:val="32"/>
        </w:rPr>
      </w:pPr>
      <w:r>
        <w:rPr>
          <w:rFonts w:hint="eastAsia" w:ascii="仿宋" w:hAnsi="仿宋" w:eastAsia="仿宋" w:cs="仿宋"/>
          <w:sz w:val="32"/>
          <w:szCs w:val="32"/>
        </w:rPr>
        <w:t xml:space="preserve">  无其实需要说明的问题</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17D55"/>
    <w:multiLevelType w:val="singleLevel"/>
    <w:tmpl w:val="98B17D55"/>
    <w:lvl w:ilvl="0" w:tentative="0">
      <w:start w:val="2"/>
      <w:numFmt w:val="chineseCounting"/>
      <w:suff w:val="nothing"/>
      <w:lvlText w:val="（%1）"/>
      <w:lvlJc w:val="left"/>
      <w:rPr>
        <w:rFonts w:hint="eastAsia"/>
      </w:rPr>
    </w:lvl>
  </w:abstractNum>
  <w:abstractNum w:abstractNumId="1">
    <w:nsid w:val="DC9AB08E"/>
    <w:multiLevelType w:val="singleLevel"/>
    <w:tmpl w:val="DC9AB08E"/>
    <w:lvl w:ilvl="0" w:tentative="0">
      <w:start w:val="4"/>
      <w:numFmt w:val="chineseCounting"/>
      <w:suff w:val="nothing"/>
      <w:lvlText w:val="（%1）"/>
      <w:lvlJc w:val="left"/>
      <w:rPr>
        <w:rFonts w:hint="eastAsia"/>
      </w:rPr>
    </w:lvl>
  </w:abstractNum>
  <w:abstractNum w:abstractNumId="2">
    <w:nsid w:val="F91369BF"/>
    <w:multiLevelType w:val="singleLevel"/>
    <w:tmpl w:val="F91369BF"/>
    <w:lvl w:ilvl="0" w:tentative="0">
      <w:start w:val="7"/>
      <w:numFmt w:val="chineseCounting"/>
      <w:suff w:val="nothing"/>
      <w:lvlText w:val="%1、"/>
      <w:lvlJc w:val="left"/>
      <w:rPr>
        <w:rFonts w:hint="eastAsia"/>
      </w:rPr>
    </w:lvl>
  </w:abstractNum>
  <w:abstractNum w:abstractNumId="3">
    <w:nsid w:val="227421A9"/>
    <w:multiLevelType w:val="singleLevel"/>
    <w:tmpl w:val="227421A9"/>
    <w:lvl w:ilvl="0" w:tentative="0">
      <w:start w:val="1"/>
      <w:numFmt w:val="decimal"/>
      <w:suff w:val="nothing"/>
      <w:lvlText w:val="%1、"/>
      <w:lvlJc w:val="left"/>
    </w:lvl>
  </w:abstractNum>
  <w:abstractNum w:abstractNumId="4">
    <w:nsid w:val="4498A272"/>
    <w:multiLevelType w:val="singleLevel"/>
    <w:tmpl w:val="4498A272"/>
    <w:lvl w:ilvl="0" w:tentative="0">
      <w:start w:val="1"/>
      <w:numFmt w:val="decimal"/>
      <w:suff w:val="nothing"/>
      <w:lvlText w:val="%1、"/>
      <w:lvlJc w:val="left"/>
    </w:lvl>
  </w:abstractNum>
  <w:abstractNum w:abstractNumId="5">
    <w:nsid w:val="4F3E47F6"/>
    <w:multiLevelType w:val="singleLevel"/>
    <w:tmpl w:val="4F3E47F6"/>
    <w:lvl w:ilvl="0" w:tentative="0">
      <w:start w:val="2"/>
      <w:numFmt w:val="chineseCounting"/>
      <w:suff w:val="nothing"/>
      <w:lvlText w:val="（%1）"/>
      <w:lvlJc w:val="left"/>
      <w:rPr>
        <w:rFonts w:hint="eastAsia"/>
      </w:rPr>
    </w:lvl>
  </w:abstractNum>
  <w:abstractNum w:abstractNumId="6">
    <w:nsid w:val="54BE14D2"/>
    <w:multiLevelType w:val="singleLevel"/>
    <w:tmpl w:val="54BE14D2"/>
    <w:lvl w:ilvl="0" w:tentative="0">
      <w:start w:val="1"/>
      <w:numFmt w:val="decimal"/>
      <w:suff w:val="nothing"/>
      <w:lvlText w:val="%1、"/>
      <w:lvlJc w:val="left"/>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D62FE"/>
    <w:rsid w:val="226D62FE"/>
    <w:rsid w:val="4ACC54BE"/>
    <w:rsid w:val="5385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ind w:left="132"/>
      <w:outlineLvl w:val="0"/>
    </w:pPr>
    <w:rPr>
      <w:rFonts w:ascii="方正小标宋简体" w:hAnsi="方正小标宋简体" w:eastAsia="方正小标宋简体" w:cs="方正小标宋简体"/>
      <w:b/>
      <w:bCs/>
      <w:sz w:val="36"/>
      <w:szCs w:val="36"/>
      <w:lang w:val="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2021-07-16T01:54:00Z</dcterms:created>
  <dc:creator>Linda</dc:creator>
  <cp:lastModifiedBy>hp</cp:lastModifiedBy>
  <dcterms:modified xsi:type="dcterms:W3CDTF">2022-03-17T01:40:03Z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B98D0BE189BE491C9598BAC31E91062A</vt:lpwstr>
  </property>
</Properties>
</file>